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F3384A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4A" w:rsidRDefault="007C580F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F3384A" w:rsidRDefault="007C580F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資料種類：其他行政統計</w:t>
            </w:r>
          </w:p>
          <w:p w:rsidR="00F3384A" w:rsidRDefault="007C580F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rFonts w:ascii="Times New Roman" w:hAnsi="Times New Roman"/>
                <w:sz w:val="28"/>
                <w:szCs w:val="28"/>
              </w:rPr>
              <w:t>龍井</w:t>
            </w:r>
            <w:r>
              <w:rPr>
                <w:bCs/>
                <w:spacing w:val="-4"/>
                <w:sz w:val="28"/>
                <w:szCs w:val="28"/>
              </w:rPr>
              <w:t>區</w:t>
            </w:r>
            <w:r>
              <w:rPr>
                <w:sz w:val="28"/>
              </w:rPr>
              <w:t>公所辦理調解方式概況</w:t>
            </w:r>
          </w:p>
          <w:p w:rsidR="00F3384A" w:rsidRDefault="007C580F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F3384A" w:rsidRDefault="007C580F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公所會計室</w:t>
            </w:r>
          </w:p>
          <w:p w:rsidR="00F3384A" w:rsidRDefault="007C580F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公所民政課</w:t>
            </w:r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spacing w:val="-4"/>
                <w:sz w:val="28"/>
                <w:szCs w:val="28"/>
              </w:rPr>
              <w:t>石湘渝</w:t>
            </w:r>
          </w:p>
          <w:p w:rsidR="00F3384A" w:rsidRDefault="007C580F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＊聯絡電話：</w:t>
            </w:r>
            <w:r>
              <w:rPr>
                <w:sz w:val="28"/>
              </w:rPr>
              <w:t>04-26352411#1214</w:t>
            </w:r>
          </w:p>
          <w:p w:rsidR="00F3384A" w:rsidRDefault="007C580F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＊傳真：</w:t>
            </w:r>
            <w:r>
              <w:rPr>
                <w:sz w:val="28"/>
              </w:rPr>
              <w:t>04-26354060</w:t>
            </w:r>
          </w:p>
          <w:p w:rsidR="00F3384A" w:rsidRDefault="007C580F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＊電子信箱：</w:t>
            </w:r>
            <w:r>
              <w:rPr>
                <w:rFonts w:ascii="Arial" w:hAnsi="Arial" w:cs="Arial"/>
                <w:color w:val="000000"/>
              </w:rPr>
              <w:t>m223@taichung.gov.tw</w:t>
            </w:r>
          </w:p>
          <w:p w:rsidR="00F3384A" w:rsidRDefault="007C580F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F3384A" w:rsidRDefault="007C580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F3384A" w:rsidRDefault="007C580F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F3384A" w:rsidRDefault="007C580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F3384A" w:rsidRDefault="007C580F">
            <w:pPr>
              <w:spacing w:line="360" w:lineRule="exact"/>
              <w:ind w:left="294"/>
              <w:jc w:val="both"/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:rsidR="00F3384A" w:rsidRDefault="007C580F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:rsidR="00F3384A" w:rsidRDefault="007C580F">
            <w:pPr>
              <w:spacing w:line="360" w:lineRule="exact"/>
              <w:ind w:left="966" w:right="-328" w:hanging="294"/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）線上書刊及資料庫，網址：</w:t>
            </w:r>
          </w:p>
          <w:p w:rsidR="00F3384A" w:rsidRDefault="007C580F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:rsidR="00F3384A" w:rsidRDefault="007C580F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F3384A" w:rsidRDefault="007C580F">
            <w:pPr>
              <w:spacing w:line="360" w:lineRule="exact"/>
              <w:ind w:left="3399" w:hanging="3116"/>
              <w:jc w:val="both"/>
            </w:pPr>
            <w:r>
              <w:rPr>
                <w:color w:val="000000"/>
                <w:sz w:val="28"/>
              </w:rPr>
              <w:t>＊統計地區範圍及對象：</w:t>
            </w:r>
            <w:r>
              <w:rPr>
                <w:color w:val="000000"/>
                <w:sz w:val="28"/>
                <w:szCs w:val="28"/>
              </w:rPr>
              <w:t>凡依據本區調解條例之執行案件經辦理結案者，均為統計對象。</w:t>
            </w:r>
          </w:p>
          <w:p w:rsidR="00F3384A" w:rsidRDefault="007C580F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＊統計標準時間：</w:t>
            </w:r>
            <w:r>
              <w:rPr>
                <w:color w:val="000000"/>
                <w:sz w:val="28"/>
                <w:szCs w:val="28"/>
              </w:rPr>
              <w:t>以每年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日至</w:t>
            </w: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日之事實為準。</w:t>
            </w:r>
            <w:r>
              <w:rPr>
                <w:color w:val="000000"/>
                <w:sz w:val="28"/>
              </w:rPr>
              <w:t xml:space="preserve"> </w:t>
            </w:r>
          </w:p>
          <w:p w:rsidR="00F3384A" w:rsidRDefault="007C580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F3384A" w:rsidRDefault="007C580F">
            <w:pPr>
              <w:widowControl/>
              <w:overflowPunct w:val="0"/>
              <w:autoSpaceDE w:val="0"/>
              <w:spacing w:line="400" w:lineRule="exact"/>
              <w:ind w:firstLine="426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（一）成立：指當年調解成立之件數。</w:t>
            </w:r>
          </w:p>
          <w:p w:rsidR="00F3384A" w:rsidRDefault="007C580F">
            <w:pPr>
              <w:widowControl/>
              <w:overflowPunct w:val="0"/>
              <w:autoSpaceDE w:val="0"/>
              <w:spacing w:line="400" w:lineRule="exact"/>
              <w:ind w:left="1379" w:hanging="952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（二）不成立：指一次或多次調解未達成協議不再調解之當年結案之件數。</w:t>
            </w:r>
          </w:p>
          <w:p w:rsidR="00F3384A" w:rsidRDefault="007C580F">
            <w:pPr>
              <w:widowControl/>
              <w:overflowPunct w:val="0"/>
              <w:autoSpaceDE w:val="0"/>
              <w:spacing w:line="400" w:lineRule="exact"/>
              <w:ind w:left="1379" w:hanging="952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三）委員集體開會調解、委員獨任調解：委員獨任調解係指責任區一人為主體進行之調解，惟依法須有女性委員或主席參與者，仍以委員獨任調解計算之；責任區三人以上為主體之調解案件為委員集體開會調解案件。</w:t>
            </w:r>
          </w:p>
          <w:p w:rsidR="00F3384A" w:rsidRDefault="007C580F">
            <w:pPr>
              <w:widowControl/>
              <w:overflowPunct w:val="0"/>
              <w:autoSpaceDE w:val="0"/>
              <w:spacing w:line="400" w:lineRule="exact"/>
              <w:ind w:left="1379" w:hanging="952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（四）協同調解：指調解件數中，有相關單位人士參與協同調解者。</w:t>
            </w:r>
          </w:p>
          <w:p w:rsidR="00F3384A" w:rsidRDefault="007C580F">
            <w:pPr>
              <w:widowControl/>
              <w:overflowPunct w:val="0"/>
              <w:autoSpaceDE w:val="0"/>
              <w:spacing w:line="400" w:lineRule="exact"/>
              <w:ind w:left="1379" w:hanging="952"/>
            </w:pPr>
            <w:r>
              <w:rPr>
                <w:color w:val="000000"/>
                <w:kern w:val="0"/>
                <w:sz w:val="28"/>
                <w:szCs w:val="28"/>
              </w:rPr>
              <w:t>（五）本表調解方式合計欄應與「</w:t>
            </w:r>
            <w:r>
              <w:rPr>
                <w:color w:val="000000"/>
                <w:kern w:val="0"/>
                <w:sz w:val="28"/>
                <w:szCs w:val="28"/>
              </w:rPr>
              <w:t>30293-03-01-3</w:t>
            </w:r>
            <w:r>
              <w:rPr>
                <w:color w:val="000000"/>
                <w:kern w:val="0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龍井</w:t>
            </w:r>
            <w:r>
              <w:rPr>
                <w:color w:val="000000"/>
                <w:kern w:val="0"/>
                <w:sz w:val="28"/>
                <w:szCs w:val="28"/>
              </w:rPr>
              <w:t>區辦理調解業務概況」之結案件數總計相符。</w:t>
            </w:r>
          </w:p>
          <w:p w:rsidR="00F3384A" w:rsidRDefault="007C580F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＊統計單位：</w:t>
            </w:r>
            <w:r>
              <w:rPr>
                <w:color w:val="000000"/>
                <w:kern w:val="0"/>
                <w:sz w:val="28"/>
                <w:szCs w:val="28"/>
              </w:rPr>
              <w:t>件、</w:t>
            </w:r>
            <w:r>
              <w:rPr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color w:val="000000"/>
                <w:kern w:val="0"/>
                <w:sz w:val="28"/>
                <w:szCs w:val="28"/>
              </w:rPr>
              <w:t>。</w:t>
            </w:r>
          </w:p>
          <w:p w:rsidR="00F3384A" w:rsidRDefault="007C580F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  <w:szCs w:val="28"/>
              </w:rPr>
              <w:t>＊統計分類：</w:t>
            </w:r>
            <w:r>
              <w:rPr>
                <w:color w:val="000000"/>
                <w:kern w:val="0"/>
                <w:sz w:val="28"/>
                <w:szCs w:val="28"/>
              </w:rPr>
              <w:t>按調解方式及協同調解分類。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</w:p>
          <w:p w:rsidR="00F3384A" w:rsidRDefault="007C580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＊發布週期：年</w:t>
            </w:r>
          </w:p>
          <w:p w:rsidR="00F3384A" w:rsidRDefault="007C580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</w:t>
            </w:r>
          </w:p>
          <w:p w:rsidR="00F3384A" w:rsidRDefault="007C580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</w:t>
            </w:r>
          </w:p>
          <w:p w:rsidR="00F3384A" w:rsidRDefault="007C580F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四、公開資料發布訊息</w:t>
            </w:r>
          </w:p>
          <w:p w:rsidR="00F3384A" w:rsidRDefault="007C580F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</w:t>
            </w:r>
            <w:r>
              <w:rPr>
                <w:color w:val="000000"/>
                <w:sz w:val="28"/>
              </w:rPr>
              <w:t xml:space="preserve"> </w:t>
            </w:r>
          </w:p>
          <w:p w:rsidR="00F3384A" w:rsidRDefault="007C580F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                </w:t>
            </w:r>
            <w:r>
              <w:rPr>
                <w:color w:val="000000"/>
                <w:sz w:val="28"/>
              </w:rPr>
              <w:t>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F3384A" w:rsidRDefault="007C580F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＊同步發送單位：臺中市政府主計處</w:t>
            </w:r>
          </w:p>
          <w:p w:rsidR="00F3384A" w:rsidRDefault="007C580F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五、資料品質</w:t>
            </w:r>
          </w:p>
          <w:p w:rsidR="00F3384A" w:rsidRDefault="007C580F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＊統計指標編製方法與資料來源說明：本所民政課依據依民眾申請及其他機關、單位轉介列表資料編製。</w:t>
            </w:r>
          </w:p>
          <w:p w:rsidR="00F3384A" w:rsidRDefault="007C580F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color w:val="000000"/>
                <w:sz w:val="28"/>
              </w:rPr>
              <w:t>＊統計資料交叉查核及確保資料合理性之機制：</w:t>
            </w:r>
            <w:r>
              <w:rPr>
                <w:color w:val="000000"/>
                <w:sz w:val="28"/>
                <w:szCs w:val="28"/>
              </w:rPr>
              <w:t>由電腦系統自動進行加總交叉查核。</w:t>
            </w:r>
          </w:p>
          <w:p w:rsidR="00F3384A" w:rsidRDefault="007C580F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 xml:space="preserve"> 30293-03-03-3</w:t>
            </w:r>
          </w:p>
          <w:p w:rsidR="00F3384A" w:rsidRDefault="007C580F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t>七、其他事項：無。</w:t>
            </w:r>
          </w:p>
        </w:tc>
      </w:tr>
    </w:tbl>
    <w:p w:rsidR="00F3384A" w:rsidRDefault="00F3384A"/>
    <w:sectPr w:rsidR="00F3384A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C580F">
      <w:r>
        <w:separator/>
      </w:r>
    </w:p>
  </w:endnote>
  <w:endnote w:type="continuationSeparator" w:id="0">
    <w:p w:rsidR="00000000" w:rsidRDefault="007C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C580F">
      <w:r>
        <w:rPr>
          <w:color w:val="000000"/>
        </w:rPr>
        <w:separator/>
      </w:r>
    </w:p>
  </w:footnote>
  <w:footnote w:type="continuationSeparator" w:id="0">
    <w:p w:rsidR="00000000" w:rsidRDefault="007C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7D13" w:rsidRDefault="007C580F">
    <w:pPr>
      <w:pStyle w:val="a7"/>
    </w:pPr>
  </w:p>
  <w:p w:rsidR="007D7D13" w:rsidRDefault="007C58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AC9"/>
    <w:multiLevelType w:val="multilevel"/>
    <w:tmpl w:val="3098BB1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7341646"/>
    <w:multiLevelType w:val="multilevel"/>
    <w:tmpl w:val="81926700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B42FFA"/>
    <w:multiLevelType w:val="multilevel"/>
    <w:tmpl w:val="7DFA4D92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96CF1"/>
    <w:multiLevelType w:val="multilevel"/>
    <w:tmpl w:val="2B8052D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65801744">
    <w:abstractNumId w:val="2"/>
  </w:num>
  <w:num w:numId="2" w16cid:durableId="1870413697">
    <w:abstractNumId w:val="0"/>
  </w:num>
  <w:num w:numId="3" w16cid:durableId="1402828563">
    <w:abstractNumId w:val="3"/>
  </w:num>
  <w:num w:numId="4" w16cid:durableId="183383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384A"/>
    <w:rsid w:val="007C580F"/>
    <w:rsid w:val="00F3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tccg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