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252F" w14:textId="77777777" w:rsidR="002223F1" w:rsidRDefault="00D00958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14:paraId="71713B63" w14:textId="77777777" w:rsidR="002223F1" w:rsidRDefault="00D00958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14:paraId="20003177" w14:textId="77777777" w:rsidR="002223F1" w:rsidRDefault="00D00958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ascii="標楷體" w:eastAsia="標楷體" w:hAnsi="標楷體"/>
        </w:rPr>
        <w:t>臺中市區域排水搶修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搶險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工程</w:t>
      </w:r>
    </w:p>
    <w:p w14:paraId="4276564E" w14:textId="77777777" w:rsidR="002223F1" w:rsidRDefault="00D00958">
      <w:pPr>
        <w:pStyle w:val="Standard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14:paraId="50D9D164" w14:textId="77777777" w:rsidR="002223F1" w:rsidRDefault="00D00958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14:paraId="4F42C81D" w14:textId="77777777" w:rsidR="002223F1" w:rsidRDefault="00D00958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＊編製單位：臺中市政府水利局水利工程科</w:t>
      </w:r>
    </w:p>
    <w:p w14:paraId="5003D1C2" w14:textId="77777777" w:rsidR="002223F1" w:rsidRDefault="00D00958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53107</w:t>
      </w:r>
    </w:p>
    <w:p w14:paraId="3D92D56B" w14:textId="77777777" w:rsidR="002223F1" w:rsidRDefault="00D00958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j98098y98@taichung.gov.tw</w:t>
        </w:r>
      </w:hyperlink>
    </w:p>
    <w:p w14:paraId="451250D3" w14:textId="77777777" w:rsidR="002223F1" w:rsidRDefault="00D00958">
      <w:pPr>
        <w:pStyle w:val="Standard"/>
        <w:spacing w:line="320" w:lineRule="exact"/>
        <w:ind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14:paraId="6AB37828" w14:textId="77777777" w:rsidR="002223F1" w:rsidRDefault="00D00958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021577A4" w14:textId="77777777" w:rsidR="002223F1" w:rsidRDefault="00D00958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14:paraId="0C9B91A4" w14:textId="77777777" w:rsidR="002223F1" w:rsidRDefault="00D00958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472F09DC" w14:textId="77777777" w:rsidR="002223F1" w:rsidRDefault="00D00958">
      <w:pPr>
        <w:pStyle w:val="Standard"/>
        <w:spacing w:line="320" w:lineRule="exact"/>
        <w:ind w:left="294"/>
        <w:jc w:val="both"/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eastAsia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14:paraId="729A201D" w14:textId="77777777" w:rsidR="002223F1" w:rsidRDefault="00D00958">
      <w:pPr>
        <w:pStyle w:val="Standard"/>
        <w:spacing w:line="320" w:lineRule="exact"/>
        <w:ind w:left="29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14:paraId="1DCEFC56" w14:textId="77777777" w:rsidR="002223F1" w:rsidRDefault="00D00958">
      <w:pPr>
        <w:pStyle w:val="Standard"/>
        <w:spacing w:line="320" w:lineRule="exact"/>
        <w:ind w:left="966" w:right="-328" w:hanging="294"/>
        <w:jc w:val="both"/>
      </w:pPr>
      <w:r>
        <w:rPr>
          <w:rFonts w:eastAsia="標楷體"/>
        </w:rPr>
        <w:t>（</w:t>
      </w:r>
      <w:r>
        <w:rPr>
          <w:rFonts w:eastAsia="Times New Roman"/>
        </w:rPr>
        <w:t xml:space="preserve"> </w:t>
      </w:r>
      <w:r>
        <w:rPr>
          <w:rFonts w:eastAsia="標楷體"/>
        </w:rPr>
        <w:t>）線上書刊及資料庫，網址：</w:t>
      </w:r>
    </w:p>
    <w:p w14:paraId="28B33633" w14:textId="77777777" w:rsidR="002223F1" w:rsidRDefault="00D00958">
      <w:pPr>
        <w:pStyle w:val="Standard"/>
        <w:spacing w:line="320" w:lineRule="exact"/>
        <w:ind w:left="966" w:right="-328" w:hanging="294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7E331CE3" w14:textId="77777777" w:rsidR="002223F1" w:rsidRDefault="00D00958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09E832EB" w14:textId="77777777" w:rsidR="002223F1" w:rsidRDefault="00D00958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統計地區範圍及對象：凡本市區域排水之各項水利設施搶修工程均為統計對象。</w:t>
      </w:r>
    </w:p>
    <w:p w14:paraId="2BF61DFD" w14:textId="77777777" w:rsidR="002223F1" w:rsidRDefault="00D00958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14:paraId="1BE94ABB" w14:textId="77777777" w:rsidR="002223F1" w:rsidRDefault="00D00958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14:paraId="5FE496E9" w14:textId="77777777" w:rsidR="002223F1" w:rsidRDefault="00D00958">
      <w:pPr>
        <w:pStyle w:val="Standard"/>
        <w:tabs>
          <w:tab w:val="left" w:pos="1080"/>
          <w:tab w:val="left" w:pos="2040"/>
          <w:tab w:val="left" w:pos="300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</w:tabs>
        <w:autoSpaceDE w:val="0"/>
        <w:ind w:left="120" w:firstLine="36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區域排水係依據經濟部核定公告之中央管、直轄市管及縣（市）管之區域排水。</w:t>
      </w:r>
    </w:p>
    <w:p w14:paraId="5F7E6493" w14:textId="77777777" w:rsidR="002223F1" w:rsidRDefault="00D00958">
      <w:pPr>
        <w:pStyle w:val="Standard"/>
        <w:tabs>
          <w:tab w:val="left" w:pos="2033"/>
          <w:tab w:val="left" w:pos="2993"/>
          <w:tab w:val="left" w:pos="3953"/>
          <w:tab w:val="left" w:pos="4913"/>
          <w:tab w:val="left" w:pos="5873"/>
          <w:tab w:val="left" w:pos="6833"/>
          <w:tab w:val="left" w:pos="7793"/>
          <w:tab w:val="left" w:pos="8753"/>
          <w:tab w:val="left" w:pos="9713"/>
          <w:tab w:val="left" w:pos="10673"/>
          <w:tab w:val="left" w:pos="11633"/>
          <w:tab w:val="left" w:pos="12593"/>
          <w:tab w:val="left" w:pos="13553"/>
        </w:tabs>
        <w:autoSpaceDE w:val="0"/>
        <w:ind w:left="1073" w:hanging="593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排水路：係指排水幹線、支線、分線等各級水路。</w:t>
      </w:r>
    </w:p>
    <w:p w14:paraId="0EE545E1" w14:textId="77777777" w:rsidR="002223F1" w:rsidRDefault="00D00958">
      <w:pPr>
        <w:pStyle w:val="Standard"/>
        <w:tabs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</w:tabs>
        <w:autoSpaceDE w:val="0"/>
        <w:ind w:left="1920" w:hanging="192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水門：視</w:t>
      </w:r>
      <w:r>
        <w:rPr>
          <w:rFonts w:ascii="標楷體" w:eastAsia="標楷體" w:hAnsi="標楷體"/>
          <w:szCs w:val="24"/>
        </w:rPr>
        <w:t>區域</w:t>
      </w:r>
      <w:r>
        <w:rPr>
          <w:rFonts w:ascii="標楷體" w:eastAsia="標楷體" w:hAnsi="標楷體"/>
        </w:rPr>
        <w:t>排水水位高度關閉閘門以阻斷倒灌情形發生之構造物。</w:t>
      </w:r>
    </w:p>
    <w:p w14:paraId="0CB6807D" w14:textId="77777777" w:rsidR="002223F1" w:rsidRDefault="00D00958">
      <w:pPr>
        <w:pStyle w:val="Standard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</w:tabs>
        <w:autoSpaceDE w:val="0"/>
        <w:ind w:firstLine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表中未列名之工程項目填入「其他」欄，並附註說明。</w:t>
      </w:r>
    </w:p>
    <w:p w14:paraId="506BF448" w14:textId="77777777" w:rsidR="002223F1" w:rsidRDefault="00D00958">
      <w:pPr>
        <w:pStyle w:val="Standard"/>
        <w:tabs>
          <w:tab w:val="left" w:pos="2264"/>
          <w:tab w:val="left" w:pos="3224"/>
          <w:tab w:val="left" w:pos="4184"/>
          <w:tab w:val="left" w:pos="5144"/>
          <w:tab w:val="left" w:pos="6104"/>
          <w:tab w:val="left" w:pos="7064"/>
          <w:tab w:val="left" w:pos="8024"/>
          <w:tab w:val="left" w:pos="8984"/>
          <w:tab w:val="left" w:pos="9944"/>
          <w:tab w:val="left" w:pos="10904"/>
          <w:tab w:val="left" w:pos="11864"/>
          <w:tab w:val="left" w:pos="12824"/>
          <w:tab w:val="left" w:pos="13784"/>
        </w:tabs>
        <w:autoSpaceDE w:val="0"/>
        <w:ind w:left="1304" w:hanging="1304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中央經費：係由中央單位編列經費辦理之款項。</w:t>
      </w:r>
    </w:p>
    <w:p w14:paraId="588742D3" w14:textId="77777777" w:rsidR="002223F1" w:rsidRDefault="00D00958">
      <w:pPr>
        <w:pStyle w:val="Standard"/>
        <w:tabs>
          <w:tab w:val="left" w:pos="2640"/>
          <w:tab w:val="left" w:pos="3600"/>
          <w:tab w:val="left" w:pos="4560"/>
          <w:tab w:val="left" w:pos="5520"/>
          <w:tab w:val="left" w:pos="6480"/>
          <w:tab w:val="left" w:pos="7440"/>
          <w:tab w:val="left" w:pos="8400"/>
          <w:tab w:val="left" w:pos="9360"/>
          <w:tab w:val="left" w:pos="10320"/>
          <w:tab w:val="left" w:pos="11280"/>
          <w:tab w:val="left" w:pos="12240"/>
          <w:tab w:val="left" w:pos="13200"/>
          <w:tab w:val="left" w:pos="14160"/>
        </w:tabs>
        <w:autoSpaceDE w:val="0"/>
        <w:ind w:left="1680" w:hanging="168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直轄市、縣（市）政府配合款：係辦理年度中央補助工程依現有法令，直轄市、縣（市）政府應配合之經費。</w:t>
      </w:r>
    </w:p>
    <w:p w14:paraId="581B7C3B" w14:textId="77777777" w:rsidR="002223F1" w:rsidRDefault="00D00958">
      <w:pPr>
        <w:pStyle w:val="Standard"/>
        <w:tabs>
          <w:tab w:val="left" w:pos="2520"/>
          <w:tab w:val="left" w:pos="3480"/>
          <w:tab w:val="left" w:pos="4440"/>
          <w:tab w:val="left" w:pos="5400"/>
          <w:tab w:val="left" w:pos="6360"/>
          <w:tab w:val="left" w:pos="7320"/>
          <w:tab w:val="left" w:pos="8280"/>
          <w:tab w:val="left" w:pos="9240"/>
          <w:tab w:val="left" w:pos="10200"/>
          <w:tab w:val="left" w:pos="11160"/>
          <w:tab w:val="left" w:pos="12120"/>
          <w:tab w:val="left" w:pos="13080"/>
          <w:tab w:val="left" w:pos="14040"/>
        </w:tabs>
        <w:autoSpaceDE w:val="0"/>
        <w:ind w:left="1560" w:hanging="156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直轄市、縣（市）政府自辦經費：除中央補助工程外，直轄市、縣（市）政府、鄉（鎮、市、區）自行籌措編列經費辦理工程之款項。</w:t>
      </w:r>
    </w:p>
    <w:p w14:paraId="3179CCA2" w14:textId="77777777" w:rsidR="002223F1" w:rsidRDefault="00D00958">
      <w:pPr>
        <w:pStyle w:val="Standard"/>
        <w:spacing w:line="320" w:lineRule="exact"/>
        <w:ind w:left="1800" w:hanging="132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搶修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搶險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工程：在受災當時或災害發生前，為搶救某項工程設施，使不致流失之臨時權宜措施。</w:t>
      </w:r>
    </w:p>
    <w:p w14:paraId="28AC3D97" w14:textId="77777777" w:rsidR="002223F1" w:rsidRDefault="00D00958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統計單位：公尺、處、座、新台幣千元。</w:t>
      </w:r>
    </w:p>
    <w:p w14:paraId="72C3A26B" w14:textId="77777777" w:rsidR="002223F1" w:rsidRDefault="00D00958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14:paraId="563AD789" w14:textId="77777777" w:rsidR="002223F1" w:rsidRDefault="00D00958">
      <w:pPr>
        <w:pStyle w:val="Standard"/>
        <w:spacing w:line="320" w:lineRule="exact"/>
        <w:ind w:left="1982" w:hanging="1416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縱項目：分為施工地點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區別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工程名稱、施工起訖年月、工程內容、工程決算數、主辦機關等項。工程內容再分為排水路、水門、其他；工程決算數再分為總計、中央經費、直轄市、縣（市）政府配合款、直轄市、縣（市）政府自辦經費、其他。</w:t>
      </w:r>
    </w:p>
    <w:p w14:paraId="2A6B7591" w14:textId="77777777" w:rsidR="002223F1" w:rsidRDefault="00D00958">
      <w:pPr>
        <w:pStyle w:val="Standard"/>
        <w:spacing w:line="320" w:lineRule="exact"/>
        <w:ind w:left="579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橫項目：依</w:t>
      </w:r>
      <w:r>
        <w:rPr>
          <w:rFonts w:ascii="標楷體" w:eastAsia="標楷體" w:hAnsi="標楷體"/>
        </w:rPr>
        <w:t>排水名稱別分類。</w:t>
      </w:r>
    </w:p>
    <w:p w14:paraId="778A0A7F" w14:textId="77777777" w:rsidR="002223F1" w:rsidRDefault="00D00958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發布週期：年</w:t>
      </w:r>
    </w:p>
    <w:p w14:paraId="05C1ADA4" w14:textId="77777777" w:rsidR="002223F1" w:rsidRDefault="00D00958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個半月。</w:t>
      </w:r>
    </w:p>
    <w:p w14:paraId="722F17A9" w14:textId="77777777" w:rsidR="002223F1" w:rsidRDefault="00D00958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14:paraId="13AB993F" w14:textId="77777777" w:rsidR="002223F1" w:rsidRDefault="00D00958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14:paraId="3922BA43" w14:textId="77777777" w:rsidR="002223F1" w:rsidRDefault="00D00958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</w:t>
      </w:r>
    </w:p>
    <w:p w14:paraId="045074E9" w14:textId="77777777" w:rsidR="002223F1" w:rsidRDefault="00D00958">
      <w:pPr>
        <w:pStyle w:val="Standard"/>
        <w:spacing w:line="320" w:lineRule="exact"/>
        <w:ind w:firstLine="480"/>
        <w:jc w:val="both"/>
      </w:pPr>
      <w:r>
        <w:rPr>
          <w:rFonts w:ascii="標楷體" w:eastAsia="標楷體" w:hAnsi="標楷體"/>
        </w:rPr>
        <w:t>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1DA1B695" w14:textId="77777777" w:rsidR="002223F1" w:rsidRDefault="00D00958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lastRenderedPageBreak/>
        <w:t>＊同步發送單位：臺中市政府主計處。</w:t>
      </w:r>
    </w:p>
    <w:p w14:paraId="5FE644D9" w14:textId="77777777" w:rsidR="002223F1" w:rsidRDefault="00D00958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14:paraId="1FEC270E" w14:textId="77777777" w:rsidR="002223F1" w:rsidRDefault="00D00958">
      <w:pPr>
        <w:pStyle w:val="Standard"/>
        <w:spacing w:line="320" w:lineRule="exact"/>
        <w:ind w:left="600" w:hanging="240"/>
        <w:jc w:val="both"/>
      </w:pPr>
      <w:r>
        <w:rPr>
          <w:rFonts w:ascii="標楷體" w:eastAsia="標楷體" w:hAnsi="標楷體"/>
        </w:rPr>
        <w:t>＊統計指標編製方法與資料來源說明：本局水利工程科依據「區域排水搶修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搶險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工程」相關資料彙編。</w:t>
      </w:r>
    </w:p>
    <w:p w14:paraId="41A2FEFB" w14:textId="77777777" w:rsidR="002223F1" w:rsidRDefault="00D00958">
      <w:pPr>
        <w:pStyle w:val="Standard"/>
        <w:spacing w:line="320" w:lineRule="exact"/>
        <w:ind w:left="600" w:hanging="31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14:paraId="251CB42F" w14:textId="77777777" w:rsidR="002223F1" w:rsidRDefault="00D00958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20535-09-17-2</w:t>
      </w:r>
      <w:r>
        <w:rPr>
          <w:rFonts w:ascii="標楷體" w:eastAsia="標楷體" w:hAnsi="標楷體"/>
        </w:rPr>
        <w:t>。</w:t>
      </w:r>
    </w:p>
    <w:p w14:paraId="5939301C" w14:textId="77777777" w:rsidR="002223F1" w:rsidRDefault="00D00958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七、其他事項：無。</w:t>
      </w:r>
    </w:p>
    <w:p w14:paraId="01F7957E" w14:textId="77777777" w:rsidR="002223F1" w:rsidRDefault="002223F1">
      <w:pPr>
        <w:pStyle w:val="Standard"/>
        <w:spacing w:line="320" w:lineRule="exact"/>
        <w:jc w:val="both"/>
        <w:rPr>
          <w:rFonts w:ascii="標楷體" w:eastAsia="標楷體" w:hAnsi="標楷體"/>
        </w:rPr>
      </w:pPr>
    </w:p>
    <w:sectPr w:rsidR="002223F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D08E" w14:textId="77777777" w:rsidR="00000000" w:rsidRDefault="00D00958">
      <w:pPr>
        <w:rPr>
          <w:rFonts w:hint="eastAsia"/>
        </w:rPr>
      </w:pPr>
      <w:r>
        <w:separator/>
      </w:r>
    </w:p>
  </w:endnote>
  <w:endnote w:type="continuationSeparator" w:id="0">
    <w:p w14:paraId="5F430A92" w14:textId="77777777" w:rsidR="00000000" w:rsidRDefault="00D009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EA4CB" w14:textId="77777777" w:rsidR="00000000" w:rsidRDefault="00D0095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4B89B99" w14:textId="77777777" w:rsidR="00000000" w:rsidRDefault="00D0095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62155"/>
    <w:multiLevelType w:val="multilevel"/>
    <w:tmpl w:val="D4A8EFF4"/>
    <w:styleLink w:val="WW8Num5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21C3795D"/>
    <w:multiLevelType w:val="multilevel"/>
    <w:tmpl w:val="65BEA57E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4741F8D"/>
    <w:multiLevelType w:val="multilevel"/>
    <w:tmpl w:val="14C62E04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3" w15:restartNumberingAfterBreak="0">
    <w:nsid w:val="32D0048D"/>
    <w:multiLevelType w:val="multilevel"/>
    <w:tmpl w:val="8B9A0598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CA2307F"/>
    <w:multiLevelType w:val="multilevel"/>
    <w:tmpl w:val="7ACEAF7A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08102683">
    <w:abstractNumId w:val="1"/>
  </w:num>
  <w:num w:numId="2" w16cid:durableId="1346521616">
    <w:abstractNumId w:val="2"/>
  </w:num>
  <w:num w:numId="3" w16cid:durableId="1207718117">
    <w:abstractNumId w:val="4"/>
  </w:num>
  <w:num w:numId="4" w16cid:durableId="1756825423">
    <w:abstractNumId w:val="3"/>
  </w:num>
  <w:num w:numId="5" w16cid:durableId="2034644016">
    <w:abstractNumId w:val="0"/>
  </w:num>
  <w:num w:numId="6" w16cid:durableId="1489201286">
    <w:abstractNumId w:val="1"/>
    <w:lvlOverride w:ilvl="0">
      <w:startOverride w:val="1"/>
    </w:lvlOverride>
  </w:num>
  <w:num w:numId="7" w16cid:durableId="1973634243">
    <w:abstractNumId w:val="3"/>
    <w:lvlOverride w:ilvl="0"/>
  </w:num>
  <w:num w:numId="8" w16cid:durableId="2074311530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23F1"/>
    <w:rsid w:val="002223F1"/>
    <w:rsid w:val="00D0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FDCE6"/>
  <w15:docId w15:val="{50BF06FB-F6E0-4890-B861-4CFA5CEC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2025-02-13T03:10:00Z</dcterms:created>
  <dcterms:modified xsi:type="dcterms:W3CDTF">2025-02-13T03:10:00Z</dcterms:modified>
</cp:coreProperties>
</file>