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D7A0D" w14:textId="77777777" w:rsidR="004E4473" w:rsidRDefault="00DC1123">
      <w:pPr>
        <w:pStyle w:val="Standard"/>
        <w:spacing w:line="360" w:lineRule="exact"/>
        <w:jc w:val="center"/>
        <w:rPr>
          <w:rFonts w:ascii="標楷體" w:eastAsia="標楷體" w:hAnsi="標楷體"/>
          <w:spacing w:val="-4"/>
          <w:sz w:val="28"/>
          <w:szCs w:val="28"/>
        </w:rPr>
      </w:pPr>
      <w:r>
        <w:rPr>
          <w:rFonts w:ascii="標楷體" w:eastAsia="標楷體" w:hAnsi="標楷體"/>
          <w:spacing w:val="-4"/>
          <w:sz w:val="28"/>
          <w:szCs w:val="28"/>
        </w:rPr>
        <w:t>統計資料背景說明</w:t>
      </w:r>
    </w:p>
    <w:p w14:paraId="0AB009A9" w14:textId="77777777" w:rsidR="004E4473" w:rsidRDefault="00DC1123">
      <w:pPr>
        <w:pStyle w:val="Standard"/>
        <w:spacing w:line="360" w:lineRule="exact"/>
      </w:pPr>
      <w:r>
        <w:rPr>
          <w:rFonts w:ascii="標楷體" w:eastAsia="標楷體" w:hAnsi="標楷體"/>
          <w:spacing w:val="-4"/>
        </w:rPr>
        <w:t>資料種類：營造業及建築統計</w:t>
      </w:r>
    </w:p>
    <w:p w14:paraId="1E6F5012" w14:textId="77777777" w:rsidR="004E4473" w:rsidRDefault="00DC1123">
      <w:pPr>
        <w:pStyle w:val="Standard"/>
        <w:spacing w:line="360" w:lineRule="exact"/>
      </w:pPr>
      <w:r>
        <w:rPr>
          <w:rFonts w:ascii="標楷體" w:eastAsia="標楷體" w:hAnsi="標楷體"/>
          <w:spacing w:val="-4"/>
        </w:rPr>
        <w:t>資料項目：</w:t>
      </w:r>
      <w:r>
        <w:rPr>
          <w:rFonts w:ascii="標楷體" w:eastAsia="標楷體" w:hAnsi="標楷體"/>
        </w:rPr>
        <w:t>臺中市現有禦潮</w:t>
      </w:r>
      <w:r>
        <w:rPr>
          <w:rFonts w:ascii="標楷體" w:eastAsia="標楷體" w:hAnsi="標楷體"/>
        </w:rPr>
        <w:t>(</w:t>
      </w:r>
      <w:r>
        <w:rPr>
          <w:rFonts w:ascii="標楷體" w:eastAsia="標楷體" w:hAnsi="標楷體"/>
        </w:rPr>
        <w:t>海堤</w:t>
      </w:r>
      <w:r>
        <w:rPr>
          <w:rFonts w:ascii="標楷體" w:eastAsia="標楷體" w:hAnsi="標楷體"/>
        </w:rPr>
        <w:t>)</w:t>
      </w:r>
      <w:r>
        <w:rPr>
          <w:rFonts w:ascii="標楷體" w:eastAsia="標楷體" w:hAnsi="標楷體"/>
        </w:rPr>
        <w:t>設施</w:t>
      </w:r>
    </w:p>
    <w:p w14:paraId="2F5F7471" w14:textId="77777777" w:rsidR="004E4473" w:rsidRDefault="00DC1123">
      <w:pPr>
        <w:pStyle w:val="Standard"/>
        <w:numPr>
          <w:ilvl w:val="0"/>
          <w:numId w:val="7"/>
        </w:numPr>
        <w:spacing w:line="320" w:lineRule="exact"/>
        <w:jc w:val="both"/>
        <w:rPr>
          <w:rFonts w:ascii="標楷體" w:eastAsia="標楷體" w:hAnsi="標楷體"/>
        </w:rPr>
      </w:pPr>
      <w:r>
        <w:rPr>
          <w:rFonts w:ascii="標楷體" w:eastAsia="標楷體" w:hAnsi="標楷體"/>
        </w:rPr>
        <w:t>發布及編製機關單位</w:t>
      </w:r>
    </w:p>
    <w:p w14:paraId="7C02EBD6" w14:textId="77777777" w:rsidR="004E4473" w:rsidRDefault="00DC1123">
      <w:pPr>
        <w:pStyle w:val="Standard"/>
        <w:spacing w:line="320" w:lineRule="exact"/>
        <w:ind w:left="720" w:hanging="426"/>
        <w:jc w:val="both"/>
      </w:pPr>
      <w:r>
        <w:rPr>
          <w:rFonts w:ascii="標楷體" w:eastAsia="標楷體" w:hAnsi="標楷體"/>
          <w:spacing w:val="-4"/>
        </w:rPr>
        <w:t>＊發布機關：</w:t>
      </w:r>
      <w:r>
        <w:rPr>
          <w:rFonts w:ascii="標楷體" w:eastAsia="標楷體" w:hAnsi="標楷體"/>
        </w:rPr>
        <w:t>臺中市政府水利局會計室</w:t>
      </w:r>
    </w:p>
    <w:p w14:paraId="171E7A50" w14:textId="77777777" w:rsidR="004E4473" w:rsidRDefault="00DC1123">
      <w:pPr>
        <w:pStyle w:val="Standard"/>
        <w:spacing w:line="320" w:lineRule="exact"/>
        <w:ind w:left="720" w:hanging="426"/>
        <w:jc w:val="both"/>
      </w:pPr>
      <w:r>
        <w:rPr>
          <w:rFonts w:ascii="標楷體" w:eastAsia="標楷體" w:hAnsi="標楷體"/>
        </w:rPr>
        <w:t>＊編製單位：臺中市政府水利局水利工程科</w:t>
      </w:r>
    </w:p>
    <w:p w14:paraId="0747156D" w14:textId="77777777" w:rsidR="004E4473" w:rsidRDefault="00DC1123">
      <w:pPr>
        <w:pStyle w:val="Standard"/>
        <w:spacing w:line="320" w:lineRule="exact"/>
        <w:ind w:left="720" w:hanging="426"/>
        <w:jc w:val="both"/>
      </w:pPr>
      <w:r>
        <w:rPr>
          <w:rFonts w:ascii="標楷體" w:eastAsia="標楷體" w:hAnsi="標楷體"/>
        </w:rPr>
        <w:t>＊聯絡電話：</w:t>
      </w:r>
      <w:r>
        <w:rPr>
          <w:rFonts w:ascii="標楷體" w:eastAsia="標楷體" w:hAnsi="標楷體"/>
        </w:rPr>
        <w:t>(04)2228-9111</w:t>
      </w:r>
      <w:r>
        <w:rPr>
          <w:rFonts w:ascii="標楷體" w:eastAsia="標楷體" w:hAnsi="標楷體"/>
        </w:rPr>
        <w:t>轉</w:t>
      </w:r>
      <w:r>
        <w:rPr>
          <w:rFonts w:ascii="標楷體" w:eastAsia="標楷體" w:hAnsi="標楷體"/>
        </w:rPr>
        <w:t>53107</w:t>
      </w:r>
    </w:p>
    <w:p w14:paraId="4D0D9937" w14:textId="77777777" w:rsidR="004E4473" w:rsidRDefault="00DC1123">
      <w:pPr>
        <w:pStyle w:val="Standard"/>
        <w:spacing w:line="320" w:lineRule="exact"/>
        <w:ind w:left="720" w:hanging="426"/>
        <w:jc w:val="both"/>
      </w:pPr>
      <w:r>
        <w:rPr>
          <w:rFonts w:ascii="標楷體" w:eastAsia="標楷體" w:hAnsi="標楷體"/>
        </w:rPr>
        <w:t>＊</w:t>
      </w:r>
      <w:r>
        <w:rPr>
          <w:rFonts w:ascii="標楷體" w:eastAsia="標楷體" w:hAnsi="標楷體"/>
          <w:spacing w:val="-4"/>
          <w:shd w:val="clear" w:color="auto" w:fill="FFFFFF"/>
        </w:rPr>
        <w:t>單位</w:t>
      </w:r>
      <w:r>
        <w:rPr>
          <w:rFonts w:ascii="標楷體" w:eastAsia="標楷體" w:hAnsi="標楷體"/>
        </w:rPr>
        <w:t>電子信箱：</w:t>
      </w:r>
      <w:hyperlink r:id="rId7" w:history="1">
        <w:r>
          <w:rPr>
            <w:rStyle w:val="Internetlink"/>
            <w:rFonts w:ascii="Arial" w:hAnsi="Arial" w:cs="Arial"/>
            <w:color w:val="000000"/>
            <w:szCs w:val="24"/>
          </w:rPr>
          <w:t>j98098y98@taichung.gov.tw</w:t>
        </w:r>
      </w:hyperlink>
    </w:p>
    <w:p w14:paraId="1DBBA9AD" w14:textId="77777777" w:rsidR="004E4473" w:rsidRDefault="00DC1123">
      <w:pPr>
        <w:pStyle w:val="Standard"/>
        <w:spacing w:line="320" w:lineRule="exact"/>
        <w:ind w:left="720" w:hanging="426"/>
        <w:jc w:val="both"/>
        <w:rPr>
          <w:rFonts w:ascii="標楷體" w:eastAsia="標楷體" w:hAnsi="標楷體"/>
        </w:rPr>
      </w:pPr>
      <w:r>
        <w:rPr>
          <w:rFonts w:ascii="標楷體" w:eastAsia="標楷體" w:hAnsi="標楷體"/>
        </w:rPr>
        <w:t>二、發布形式</w:t>
      </w:r>
    </w:p>
    <w:p w14:paraId="43690B65" w14:textId="77777777" w:rsidR="004E4473" w:rsidRDefault="00DC1123">
      <w:pPr>
        <w:pStyle w:val="Standard"/>
        <w:numPr>
          <w:ilvl w:val="0"/>
          <w:numId w:val="8"/>
        </w:numPr>
        <w:spacing w:line="320" w:lineRule="exact"/>
        <w:jc w:val="both"/>
        <w:rPr>
          <w:rFonts w:ascii="標楷體" w:eastAsia="標楷體" w:hAnsi="標楷體"/>
        </w:rPr>
      </w:pPr>
      <w:r>
        <w:rPr>
          <w:rFonts w:ascii="標楷體" w:eastAsia="標楷體" w:hAnsi="標楷體"/>
        </w:rPr>
        <w:t>口頭：</w:t>
      </w:r>
    </w:p>
    <w:p w14:paraId="2FE6E85A" w14:textId="77777777" w:rsidR="004E4473" w:rsidRDefault="00DC1123">
      <w:pPr>
        <w:pStyle w:val="Standard"/>
        <w:spacing w:line="320" w:lineRule="exact"/>
        <w:ind w:left="616" w:hanging="616"/>
        <w:jc w:val="both"/>
        <w:rPr>
          <w:rFonts w:ascii="標楷體" w:eastAsia="標楷體" w:hAnsi="標楷體"/>
        </w:rPr>
      </w:pPr>
      <w:r>
        <w:rPr>
          <w:rFonts w:ascii="標楷體" w:eastAsia="標楷體" w:hAnsi="標楷體" w:cs="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）記者會或說明會</w:t>
      </w:r>
    </w:p>
    <w:p w14:paraId="486C832F" w14:textId="77777777" w:rsidR="004E4473" w:rsidRDefault="00DC1123">
      <w:pPr>
        <w:pStyle w:val="Standard"/>
        <w:numPr>
          <w:ilvl w:val="0"/>
          <w:numId w:val="9"/>
        </w:numPr>
        <w:tabs>
          <w:tab w:val="left" w:pos="1158"/>
        </w:tabs>
        <w:spacing w:line="320" w:lineRule="exact"/>
        <w:ind w:left="579" w:hanging="285"/>
        <w:jc w:val="both"/>
        <w:rPr>
          <w:rFonts w:ascii="標楷體" w:eastAsia="標楷體" w:hAnsi="標楷體"/>
        </w:rPr>
      </w:pPr>
      <w:r>
        <w:rPr>
          <w:rFonts w:ascii="標楷體" w:eastAsia="標楷體" w:hAnsi="標楷體"/>
        </w:rPr>
        <w:t>書面：</w:t>
      </w:r>
    </w:p>
    <w:p w14:paraId="05F18EA6" w14:textId="77777777" w:rsidR="004E4473" w:rsidRDefault="00DC1123">
      <w:pPr>
        <w:pStyle w:val="Standard"/>
        <w:spacing w:line="320" w:lineRule="exact"/>
        <w:ind w:left="616" w:hanging="332"/>
        <w:jc w:val="both"/>
        <w:rPr>
          <w:rFonts w:ascii="標楷體" w:eastAsia="標楷體" w:hAnsi="標楷體"/>
        </w:rPr>
      </w:pPr>
      <w:r>
        <w:rPr>
          <w:rFonts w:ascii="標楷體" w:eastAsia="標楷體" w:hAnsi="標楷體" w:cs="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）新聞稿</w:t>
      </w:r>
      <w:r>
        <w:rPr>
          <w:rFonts w:ascii="標楷體" w:eastAsia="標楷體" w:hAnsi="標楷體"/>
        </w:rPr>
        <w:t xml:space="preserve">   </w:t>
      </w:r>
      <w:r>
        <w:rPr>
          <w:rFonts w:ascii="標楷體" w:eastAsia="標楷體" w:hAnsi="標楷體"/>
        </w:rPr>
        <w:t>（）報表</w:t>
      </w: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）書刊，刊名：</w:t>
      </w:r>
    </w:p>
    <w:p w14:paraId="1EFA315A" w14:textId="77777777" w:rsidR="004E4473" w:rsidRDefault="00DC1123">
      <w:pPr>
        <w:pStyle w:val="Standard"/>
        <w:spacing w:line="320" w:lineRule="exact"/>
        <w:ind w:left="616" w:hanging="332"/>
        <w:jc w:val="both"/>
        <w:rPr>
          <w:rFonts w:ascii="標楷體" w:eastAsia="標楷體" w:hAnsi="標楷體"/>
        </w:rPr>
      </w:pPr>
      <w:r>
        <w:rPr>
          <w:rFonts w:ascii="標楷體" w:eastAsia="標楷體" w:hAnsi="標楷體"/>
        </w:rPr>
        <w:t>＊電子媒體：</w:t>
      </w:r>
    </w:p>
    <w:p w14:paraId="7F440243" w14:textId="77777777" w:rsidR="004E4473" w:rsidRDefault="00DC1123">
      <w:pPr>
        <w:pStyle w:val="Standard"/>
        <w:spacing w:line="320" w:lineRule="exact"/>
        <w:ind w:left="616" w:firstLine="93"/>
        <w:jc w:val="both"/>
        <w:rPr>
          <w:rFonts w:ascii="標楷體" w:eastAsia="標楷體" w:hAnsi="標楷體"/>
        </w:rPr>
      </w:pPr>
      <w:r>
        <w:rPr>
          <w:rFonts w:ascii="標楷體" w:eastAsia="標楷體" w:hAnsi="標楷體"/>
        </w:rPr>
        <w:t>（</w:t>
      </w:r>
      <w:r>
        <w:rPr>
          <w:rFonts w:ascii="標楷體" w:eastAsia="標楷體" w:hAnsi="標楷體"/>
        </w:rPr>
        <w:t xml:space="preserve"> </w:t>
      </w:r>
      <w:r>
        <w:rPr>
          <w:rFonts w:ascii="標楷體" w:eastAsia="標楷體" w:hAnsi="標楷體"/>
        </w:rPr>
        <w:t>）線上書刊及資料庫，網址：</w:t>
      </w:r>
    </w:p>
    <w:p w14:paraId="6F17C9DC" w14:textId="77777777" w:rsidR="004E4473" w:rsidRDefault="00DC1123">
      <w:pPr>
        <w:pStyle w:val="Standard"/>
        <w:spacing w:line="320" w:lineRule="exact"/>
        <w:ind w:left="616" w:firstLine="93"/>
        <w:jc w:val="both"/>
      </w:pPr>
      <w:r>
        <w:rPr>
          <w:rFonts w:ascii="標楷體" w:eastAsia="標楷體" w:hAnsi="標楷體"/>
        </w:rPr>
        <w:t>（</w:t>
      </w:r>
      <w:r>
        <w:rPr>
          <w:rFonts w:ascii="標楷體" w:eastAsia="標楷體" w:hAnsi="標楷體"/>
        </w:rPr>
        <w:t xml:space="preserve"> </w:t>
      </w:r>
      <w:r>
        <w:rPr>
          <w:rFonts w:ascii="標楷體" w:eastAsia="標楷體" w:hAnsi="標楷體"/>
        </w:rPr>
        <w:t>）磁片</w:t>
      </w: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）光碟片</w:t>
      </w:r>
      <w:r>
        <w:rPr>
          <w:rFonts w:ascii="標楷體" w:eastAsia="標楷體" w:hAnsi="標楷體"/>
        </w:rPr>
        <w:t xml:space="preserve">  </w:t>
      </w:r>
      <w:r>
        <w:rPr>
          <w:rFonts w:ascii="標楷體" w:eastAsia="標楷體" w:hAnsi="標楷體"/>
        </w:rPr>
        <w:t>（</w:t>
      </w:r>
      <w:r>
        <w:rPr>
          <w:rFonts w:ascii="Wingdings" w:eastAsia="Wingdings" w:hAnsi="Wingdings" w:cs="Wingdings"/>
        </w:rPr>
        <w:t></w:t>
      </w:r>
      <w:r>
        <w:rPr>
          <w:rFonts w:ascii="標楷體" w:eastAsia="標楷體" w:hAnsi="標楷體"/>
        </w:rPr>
        <w:t>）其他</w:t>
      </w:r>
      <w:r>
        <w:rPr>
          <w:rFonts w:ascii="標楷體" w:eastAsia="標楷體" w:hAnsi="標楷體"/>
        </w:rPr>
        <w:t>(</w:t>
      </w:r>
      <w:r>
        <w:rPr>
          <w:rFonts w:ascii="標楷體" w:eastAsia="標楷體" w:hAnsi="標楷體"/>
        </w:rPr>
        <w:t>報表</w:t>
      </w:r>
      <w:r>
        <w:rPr>
          <w:rFonts w:ascii="標楷體" w:eastAsia="標楷體" w:hAnsi="標楷體"/>
        </w:rPr>
        <w:t>)</w:t>
      </w:r>
    </w:p>
    <w:p w14:paraId="7EA7F122" w14:textId="77777777" w:rsidR="004E4473" w:rsidRDefault="00DC1123">
      <w:pPr>
        <w:pStyle w:val="Standard"/>
        <w:spacing w:before="240" w:line="320" w:lineRule="exact"/>
        <w:ind w:left="616" w:hanging="616"/>
        <w:jc w:val="both"/>
        <w:rPr>
          <w:rFonts w:ascii="標楷體" w:eastAsia="標楷體" w:hAnsi="標楷體"/>
        </w:rPr>
      </w:pPr>
      <w:r>
        <w:rPr>
          <w:rFonts w:ascii="標楷體" w:eastAsia="標楷體" w:hAnsi="標楷體"/>
        </w:rPr>
        <w:t>三、資料範圍、週期及時效</w:t>
      </w:r>
    </w:p>
    <w:p w14:paraId="0BDA9B11" w14:textId="77777777" w:rsidR="004E4473" w:rsidRDefault="00DC1123">
      <w:pPr>
        <w:pStyle w:val="Standard"/>
        <w:numPr>
          <w:ilvl w:val="0"/>
          <w:numId w:val="4"/>
        </w:numPr>
        <w:spacing w:line="320" w:lineRule="exact"/>
        <w:jc w:val="both"/>
      </w:pPr>
      <w:r>
        <w:rPr>
          <w:rFonts w:ascii="標楷體" w:eastAsia="標楷體" w:hAnsi="標楷體"/>
        </w:rPr>
        <w:t>統計地區範圍及對象：凡本市所轄各項海堤禦潮設施，如海堤、離岸堤、海岸保護工、水門、其他等，均為統計對象。</w:t>
      </w:r>
    </w:p>
    <w:p w14:paraId="5C7B9C70" w14:textId="77777777" w:rsidR="004E4473" w:rsidRDefault="00DC1123">
      <w:pPr>
        <w:pStyle w:val="Standard"/>
        <w:spacing w:line="320" w:lineRule="exact"/>
        <w:ind w:firstLine="283"/>
        <w:jc w:val="both"/>
      </w:pPr>
      <w:r>
        <w:rPr>
          <w:rFonts w:ascii="標楷體" w:eastAsia="標楷體" w:hAnsi="標楷體"/>
        </w:rPr>
        <w:t>＊</w:t>
      </w:r>
      <w:r>
        <w:rPr>
          <w:rFonts w:ascii="標楷體" w:eastAsia="標楷體" w:hAnsi="標楷體"/>
          <w:sz w:val="16"/>
          <w:szCs w:val="16"/>
        </w:rPr>
        <w:t xml:space="preserve"> </w:t>
      </w:r>
      <w:r>
        <w:rPr>
          <w:rFonts w:ascii="標楷體" w:eastAsia="標楷體" w:hAnsi="標楷體"/>
        </w:rPr>
        <w:t>統計標準時間：以每年</w:t>
      </w:r>
      <w:r>
        <w:rPr>
          <w:rFonts w:ascii="標楷體" w:eastAsia="標楷體" w:hAnsi="標楷體"/>
        </w:rPr>
        <w:t>12</w:t>
      </w:r>
      <w:r>
        <w:rPr>
          <w:rFonts w:ascii="標楷體" w:eastAsia="標楷體" w:hAnsi="標楷體"/>
        </w:rPr>
        <w:t>月底之事實為準。</w:t>
      </w:r>
    </w:p>
    <w:p w14:paraId="0D2D568C" w14:textId="77777777" w:rsidR="004E4473" w:rsidRDefault="00DC1123">
      <w:pPr>
        <w:pStyle w:val="Standard"/>
        <w:numPr>
          <w:ilvl w:val="0"/>
          <w:numId w:val="4"/>
        </w:numPr>
        <w:spacing w:line="320" w:lineRule="exact"/>
        <w:ind w:hanging="338"/>
        <w:jc w:val="both"/>
        <w:rPr>
          <w:rFonts w:ascii="標楷體" w:eastAsia="標楷體" w:hAnsi="標楷體"/>
        </w:rPr>
      </w:pPr>
      <w:r>
        <w:rPr>
          <w:rFonts w:ascii="標楷體" w:eastAsia="標楷體" w:hAnsi="標楷體"/>
        </w:rPr>
        <w:t>統計項目定義：</w:t>
      </w:r>
    </w:p>
    <w:p w14:paraId="1F5DF4E1" w14:textId="77777777" w:rsidR="004E4473" w:rsidRDefault="00DC1123">
      <w:pPr>
        <w:pStyle w:val="Standard"/>
        <w:tabs>
          <w:tab w:val="left" w:pos="2760"/>
          <w:tab w:val="left" w:pos="3720"/>
          <w:tab w:val="left" w:pos="4680"/>
          <w:tab w:val="left" w:pos="5640"/>
          <w:tab w:val="left" w:pos="6600"/>
          <w:tab w:val="left" w:pos="7560"/>
          <w:tab w:val="left" w:pos="8520"/>
          <w:tab w:val="left" w:pos="9480"/>
          <w:tab w:val="left" w:pos="10440"/>
          <w:tab w:val="left" w:pos="11400"/>
          <w:tab w:val="left" w:pos="12360"/>
          <w:tab w:val="left" w:pos="13320"/>
          <w:tab w:val="left" w:pos="14280"/>
        </w:tabs>
        <w:autoSpaceDE w:val="0"/>
        <w:ind w:left="1800" w:hanging="1320"/>
        <w:jc w:val="both"/>
      </w:pP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rPr>
        <w:t>海堤：沿海築堤謂之，為保護沿海岸之低地以防潮水浸入與巨浪海嘯侵襲之建築；並包含建於沿海感潮範圍內之河口防潮堤。</w:t>
      </w:r>
    </w:p>
    <w:p w14:paraId="7288222B" w14:textId="77777777" w:rsidR="004E4473" w:rsidRDefault="00DC1123">
      <w:pPr>
        <w:pStyle w:val="Standard"/>
        <w:tabs>
          <w:tab w:val="left" w:pos="2760"/>
          <w:tab w:val="left" w:pos="3720"/>
          <w:tab w:val="left" w:pos="4680"/>
          <w:tab w:val="left" w:pos="5640"/>
          <w:tab w:val="left" w:pos="6600"/>
          <w:tab w:val="left" w:pos="7560"/>
          <w:tab w:val="left" w:pos="8520"/>
          <w:tab w:val="left" w:pos="9480"/>
          <w:tab w:val="left" w:pos="10440"/>
          <w:tab w:val="left" w:pos="11400"/>
          <w:tab w:val="left" w:pos="12360"/>
          <w:tab w:val="left" w:pos="13320"/>
          <w:tab w:val="left" w:pos="14280"/>
        </w:tabs>
        <w:autoSpaceDE w:val="0"/>
        <w:ind w:left="1800" w:hanging="1800"/>
        <w:jc w:val="both"/>
      </w:pPr>
      <w:r>
        <w:rPr>
          <w:rFonts w:ascii="標楷體" w:eastAsia="標楷體" w:hAnsi="標楷體" w:cs="標楷體"/>
        </w:rPr>
        <w:t xml:space="preserve">    </w:t>
      </w: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離岸堤：乃一離開陸地，平行海岸而獨立於海中用以抵禦波浪侵襲，消滅波浪能量，以求堤內遮蔽靜海面之結構物。</w:t>
      </w:r>
    </w:p>
    <w:p w14:paraId="6B93C1EE" w14:textId="77777777" w:rsidR="004E4473" w:rsidRDefault="00DC1123">
      <w:pPr>
        <w:pStyle w:val="Standard"/>
        <w:tabs>
          <w:tab w:val="left" w:pos="2760"/>
          <w:tab w:val="left" w:pos="3720"/>
          <w:tab w:val="left" w:pos="4680"/>
          <w:tab w:val="left" w:pos="5640"/>
          <w:tab w:val="left" w:pos="6600"/>
          <w:tab w:val="left" w:pos="7560"/>
          <w:tab w:val="left" w:pos="8520"/>
          <w:tab w:val="left" w:pos="9480"/>
          <w:tab w:val="left" w:pos="10440"/>
          <w:tab w:val="left" w:pos="11400"/>
          <w:tab w:val="left" w:pos="12360"/>
          <w:tab w:val="left" w:pos="13320"/>
          <w:tab w:val="left" w:pos="14280"/>
        </w:tabs>
        <w:autoSpaceDE w:val="0"/>
        <w:ind w:left="1800" w:hanging="1800"/>
        <w:jc w:val="both"/>
      </w:pPr>
      <w:r>
        <w:rPr>
          <w:rFonts w:ascii="標楷體" w:eastAsia="標楷體" w:hAnsi="標楷體" w:cs="標楷體"/>
        </w:rPr>
        <w:t xml:space="preserve">    </w:t>
      </w: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rPr>
        <w:t>海岸保護工：在海堤前灘擺放具備有孔隙率及糙率，以達到消殺波浪能量之天然塊石或混凝土波塊之結構物。</w:t>
      </w:r>
    </w:p>
    <w:p w14:paraId="1E83C079" w14:textId="77777777" w:rsidR="004E4473" w:rsidRDefault="00DC1123">
      <w:pPr>
        <w:pStyle w:val="Standard"/>
        <w:tabs>
          <w:tab w:val="left" w:pos="2037"/>
          <w:tab w:val="left" w:pos="2997"/>
          <w:tab w:val="left" w:pos="3957"/>
          <w:tab w:val="left" w:pos="4917"/>
          <w:tab w:val="left" w:pos="5877"/>
          <w:tab w:val="left" w:pos="6837"/>
          <w:tab w:val="left" w:pos="7797"/>
          <w:tab w:val="left" w:pos="8757"/>
          <w:tab w:val="left" w:pos="9717"/>
          <w:tab w:val="left" w:pos="10677"/>
          <w:tab w:val="left" w:pos="11637"/>
          <w:tab w:val="left" w:pos="12597"/>
          <w:tab w:val="left" w:pos="13557"/>
        </w:tabs>
        <w:autoSpaceDE w:val="0"/>
        <w:ind w:left="1077" w:hanging="1077"/>
        <w:jc w:val="both"/>
      </w:pPr>
      <w:r>
        <w:rPr>
          <w:rFonts w:ascii="標楷體" w:eastAsia="標楷體" w:hAnsi="標楷體" w:cs="標楷體"/>
        </w:rPr>
        <w:t xml:space="preserve">    </w:t>
      </w:r>
      <w:r>
        <w:rPr>
          <w:rFonts w:ascii="標楷體" w:eastAsia="標楷體" w:hAnsi="標楷體"/>
        </w:rPr>
        <w:t>(</w:t>
      </w:r>
      <w:r>
        <w:rPr>
          <w:rFonts w:ascii="標楷體" w:eastAsia="標楷體" w:hAnsi="標楷體"/>
        </w:rPr>
        <w:t>四</w:t>
      </w:r>
      <w:r>
        <w:rPr>
          <w:rFonts w:ascii="標楷體" w:eastAsia="標楷體" w:hAnsi="標楷體"/>
        </w:rPr>
        <w:t>)</w:t>
      </w:r>
      <w:r>
        <w:rPr>
          <w:rFonts w:ascii="標楷體" w:eastAsia="標楷體" w:hAnsi="標楷體"/>
        </w:rPr>
        <w:t>水門：視禦潮海堤水位高度關閉閘門以阻斷倒灌情形發生之構造物。</w:t>
      </w:r>
    </w:p>
    <w:p w14:paraId="3F7BA2EC" w14:textId="77777777" w:rsidR="004E4473" w:rsidRDefault="00DC1123">
      <w:pPr>
        <w:pStyle w:val="Standard"/>
        <w:tabs>
          <w:tab w:val="left" w:pos="2037"/>
          <w:tab w:val="left" w:pos="2997"/>
          <w:tab w:val="left" w:pos="3957"/>
          <w:tab w:val="left" w:pos="4917"/>
          <w:tab w:val="left" w:pos="5877"/>
          <w:tab w:val="left" w:pos="6837"/>
          <w:tab w:val="left" w:pos="7797"/>
          <w:tab w:val="left" w:pos="8757"/>
          <w:tab w:val="left" w:pos="9717"/>
          <w:tab w:val="left" w:pos="10677"/>
          <w:tab w:val="left" w:pos="11637"/>
          <w:tab w:val="left" w:pos="12597"/>
          <w:tab w:val="left" w:pos="13557"/>
        </w:tabs>
        <w:autoSpaceDE w:val="0"/>
        <w:ind w:left="1077" w:hanging="1077"/>
        <w:jc w:val="both"/>
      </w:pPr>
      <w:r>
        <w:rPr>
          <w:rFonts w:ascii="標楷體" w:eastAsia="標楷體" w:hAnsi="標楷體" w:cs="標楷體"/>
        </w:rPr>
        <w:t xml:space="preserve">    </w:t>
      </w:r>
      <w:r>
        <w:rPr>
          <w:rFonts w:ascii="標楷體" w:eastAsia="標楷體" w:hAnsi="標楷體"/>
        </w:rPr>
        <w:t>(</w:t>
      </w:r>
      <w:r>
        <w:rPr>
          <w:rFonts w:ascii="標楷體" w:eastAsia="標楷體" w:hAnsi="標楷體"/>
        </w:rPr>
        <w:t>五</w:t>
      </w:r>
      <w:r>
        <w:rPr>
          <w:rFonts w:ascii="標楷體" w:eastAsia="標楷體" w:hAnsi="標楷體"/>
        </w:rPr>
        <w:t>)</w:t>
      </w:r>
      <w:r>
        <w:rPr>
          <w:rFonts w:ascii="標楷體" w:eastAsia="標楷體" w:hAnsi="標楷體"/>
        </w:rPr>
        <w:t>現有禦潮設施數，係指上年底現有設施數加本年內完成新建及因流失重建之設施數減本年內流失數。</w:t>
      </w:r>
    </w:p>
    <w:p w14:paraId="0525FDB9" w14:textId="77777777" w:rsidR="004E4473" w:rsidRDefault="00DC1123">
      <w:pPr>
        <w:pStyle w:val="Standard"/>
        <w:tabs>
          <w:tab w:val="left" w:pos="2037"/>
          <w:tab w:val="left" w:pos="2997"/>
          <w:tab w:val="left" w:pos="3957"/>
          <w:tab w:val="left" w:pos="4917"/>
          <w:tab w:val="left" w:pos="5877"/>
          <w:tab w:val="left" w:pos="6837"/>
          <w:tab w:val="left" w:pos="7797"/>
          <w:tab w:val="left" w:pos="8757"/>
          <w:tab w:val="left" w:pos="9717"/>
          <w:tab w:val="left" w:pos="10677"/>
          <w:tab w:val="left" w:pos="11637"/>
          <w:tab w:val="left" w:pos="12597"/>
          <w:tab w:val="left" w:pos="13557"/>
        </w:tabs>
        <w:autoSpaceDE w:val="0"/>
        <w:ind w:left="1077" w:hanging="1077"/>
        <w:jc w:val="both"/>
      </w:pPr>
      <w:r>
        <w:rPr>
          <w:rFonts w:ascii="標楷體" w:eastAsia="標楷體" w:hAnsi="標楷體" w:cs="標楷體"/>
        </w:rPr>
        <w:t xml:space="preserve">    </w:t>
      </w:r>
      <w:r>
        <w:rPr>
          <w:rFonts w:ascii="標楷體" w:eastAsia="標楷體" w:hAnsi="標楷體"/>
        </w:rPr>
        <w:t>(</w:t>
      </w:r>
      <w:r>
        <w:rPr>
          <w:rFonts w:ascii="標楷體" w:eastAsia="標楷體" w:hAnsi="標楷體"/>
        </w:rPr>
        <w:t>六</w:t>
      </w:r>
      <w:r>
        <w:rPr>
          <w:rFonts w:ascii="標楷體" w:eastAsia="標楷體" w:hAnsi="標楷體"/>
        </w:rPr>
        <w:t>)</w:t>
      </w:r>
      <w:r>
        <w:rPr>
          <w:rFonts w:ascii="標楷體" w:eastAsia="標楷體" w:hAnsi="標楷體"/>
        </w:rPr>
        <w:t>表中未列名之工程項目，填入「其他」欄，並附註說明。</w:t>
      </w:r>
    </w:p>
    <w:p w14:paraId="1D834859" w14:textId="77777777" w:rsidR="004E4473" w:rsidRDefault="00DC1123">
      <w:pPr>
        <w:pStyle w:val="Standard"/>
        <w:numPr>
          <w:ilvl w:val="0"/>
          <w:numId w:val="4"/>
        </w:numPr>
        <w:spacing w:line="320" w:lineRule="exact"/>
        <w:ind w:hanging="338"/>
        <w:jc w:val="both"/>
      </w:pPr>
      <w:r>
        <w:rPr>
          <w:rFonts w:ascii="標楷體" w:eastAsia="標楷體" w:hAnsi="標楷體"/>
        </w:rPr>
        <w:t>統計單位：公尺、處、座。</w:t>
      </w:r>
    </w:p>
    <w:p w14:paraId="507B4344" w14:textId="77777777" w:rsidR="004E4473" w:rsidRDefault="00DC1123">
      <w:pPr>
        <w:pStyle w:val="Standard"/>
        <w:numPr>
          <w:ilvl w:val="0"/>
          <w:numId w:val="4"/>
        </w:numPr>
        <w:spacing w:line="320" w:lineRule="exact"/>
        <w:ind w:hanging="338"/>
        <w:jc w:val="both"/>
        <w:rPr>
          <w:rFonts w:ascii="標楷體" w:eastAsia="標楷體" w:hAnsi="標楷體"/>
        </w:rPr>
      </w:pPr>
      <w:r>
        <w:rPr>
          <w:rFonts w:ascii="標楷體" w:eastAsia="標楷體" w:hAnsi="標楷體"/>
        </w:rPr>
        <w:t>統計分類：</w:t>
      </w:r>
    </w:p>
    <w:p w14:paraId="23D065BD" w14:textId="77777777" w:rsidR="004E4473" w:rsidRDefault="00DC1123">
      <w:pPr>
        <w:pStyle w:val="Standard"/>
        <w:tabs>
          <w:tab w:val="left" w:pos="3240"/>
          <w:tab w:val="left" w:pos="4200"/>
          <w:tab w:val="left" w:pos="5160"/>
          <w:tab w:val="left" w:pos="6120"/>
          <w:tab w:val="left" w:pos="7080"/>
          <w:tab w:val="left" w:pos="8040"/>
          <w:tab w:val="left" w:pos="9000"/>
          <w:tab w:val="left" w:pos="9960"/>
          <w:tab w:val="left" w:pos="10920"/>
          <w:tab w:val="left" w:pos="11880"/>
          <w:tab w:val="left" w:pos="12840"/>
          <w:tab w:val="left" w:pos="13800"/>
          <w:tab w:val="left" w:pos="14760"/>
        </w:tabs>
        <w:autoSpaceDE w:val="0"/>
        <w:spacing w:before="120"/>
        <w:ind w:left="2280" w:hanging="1800"/>
        <w:jc w:val="both"/>
      </w:pPr>
      <w:r>
        <w:rPr>
          <w:rFonts w:ascii="標楷體" w:eastAsia="標楷體" w:hAnsi="標楷體"/>
        </w:rPr>
        <w:t>(</w:t>
      </w:r>
      <w:r>
        <w:rPr>
          <w:rFonts w:ascii="標楷體" w:eastAsia="標楷體" w:hAnsi="標楷體"/>
        </w:rPr>
        <w:t>一</w:t>
      </w:r>
      <w:r>
        <w:rPr>
          <w:rFonts w:ascii="標楷體" w:eastAsia="標楷體" w:hAnsi="標楷體"/>
        </w:rPr>
        <w:t xml:space="preserve">) </w:t>
      </w:r>
      <w:r>
        <w:rPr>
          <w:rFonts w:ascii="標楷體" w:eastAsia="標楷體" w:hAnsi="標楷體"/>
        </w:rPr>
        <w:t>橫列科目：</w:t>
      </w:r>
      <w:r>
        <w:rPr>
          <w:rFonts w:ascii="標楷體" w:eastAsia="標楷體" w:hAnsi="標楷體" w:cs="標楷體"/>
        </w:rPr>
        <w:t>依工程設施數量分類，其中分為海堤、離岸堤、海岸保護工、水門、其他。</w:t>
      </w:r>
    </w:p>
    <w:p w14:paraId="0CDBDBEE" w14:textId="77777777" w:rsidR="004E4473" w:rsidRDefault="00DC1123">
      <w:pPr>
        <w:pStyle w:val="Standard"/>
        <w:tabs>
          <w:tab w:val="left" w:pos="1440"/>
          <w:tab w:val="left" w:pos="2400"/>
          <w:tab w:val="left" w:pos="3360"/>
          <w:tab w:val="left" w:pos="4320"/>
          <w:tab w:val="left" w:pos="5280"/>
          <w:tab w:val="left" w:pos="6240"/>
          <w:tab w:val="left" w:pos="7200"/>
          <w:tab w:val="left" w:pos="8160"/>
          <w:tab w:val="left" w:pos="9120"/>
          <w:tab w:val="left" w:pos="10080"/>
          <w:tab w:val="left" w:pos="11040"/>
          <w:tab w:val="left" w:pos="12000"/>
          <w:tab w:val="left" w:pos="12960"/>
        </w:tabs>
        <w:autoSpaceDE w:val="0"/>
        <w:spacing w:before="120"/>
        <w:ind w:left="480"/>
        <w:jc w:val="both"/>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 xml:space="preserve"> </w:t>
      </w:r>
      <w:r>
        <w:rPr>
          <w:rFonts w:ascii="標楷體" w:eastAsia="標楷體" w:hAnsi="標楷體"/>
        </w:rPr>
        <w:t>縱行科目：依區別分類。</w:t>
      </w:r>
    </w:p>
    <w:p w14:paraId="6990EBE3" w14:textId="77777777" w:rsidR="004E4473" w:rsidRDefault="00DC1123">
      <w:pPr>
        <w:pStyle w:val="Standard"/>
        <w:numPr>
          <w:ilvl w:val="0"/>
          <w:numId w:val="4"/>
        </w:numPr>
        <w:spacing w:line="320" w:lineRule="exact"/>
        <w:ind w:hanging="338"/>
        <w:jc w:val="both"/>
      </w:pPr>
      <w:r>
        <w:rPr>
          <w:rFonts w:ascii="標楷體" w:eastAsia="標楷體" w:hAnsi="標楷體"/>
        </w:rPr>
        <w:t>發布週期：年。</w:t>
      </w:r>
    </w:p>
    <w:p w14:paraId="77B646AB" w14:textId="77777777" w:rsidR="004E4473" w:rsidRDefault="00DC1123">
      <w:pPr>
        <w:pStyle w:val="Standard"/>
        <w:spacing w:line="320" w:lineRule="exact"/>
        <w:ind w:firstLine="283"/>
        <w:jc w:val="both"/>
      </w:pPr>
      <w:r>
        <w:rPr>
          <w:rFonts w:ascii="標楷體" w:eastAsia="標楷體" w:hAnsi="標楷體"/>
        </w:rPr>
        <w:t>＊</w:t>
      </w:r>
      <w:r>
        <w:rPr>
          <w:rFonts w:ascii="標楷體" w:eastAsia="標楷體" w:hAnsi="標楷體"/>
          <w:sz w:val="16"/>
          <w:szCs w:val="16"/>
        </w:rPr>
        <w:t xml:space="preserve"> </w:t>
      </w:r>
      <w:r>
        <w:rPr>
          <w:rFonts w:ascii="標楷體" w:eastAsia="標楷體" w:hAnsi="標楷體"/>
        </w:rPr>
        <w:t>時效：</w:t>
      </w:r>
      <w:r>
        <w:rPr>
          <w:rFonts w:ascii="標楷體" w:eastAsia="標楷體" w:hAnsi="標楷體"/>
        </w:rPr>
        <w:t>2</w:t>
      </w:r>
      <w:r>
        <w:rPr>
          <w:rFonts w:ascii="標楷體" w:eastAsia="標楷體" w:hAnsi="標楷體"/>
        </w:rPr>
        <w:t>個半月。</w:t>
      </w:r>
    </w:p>
    <w:p w14:paraId="26C1FAD8" w14:textId="77777777" w:rsidR="004E4473" w:rsidRDefault="00DC1123">
      <w:pPr>
        <w:pStyle w:val="Standard"/>
        <w:numPr>
          <w:ilvl w:val="0"/>
          <w:numId w:val="4"/>
        </w:numPr>
        <w:spacing w:line="320" w:lineRule="exact"/>
        <w:ind w:hanging="338"/>
        <w:jc w:val="both"/>
      </w:pPr>
      <w:r>
        <w:rPr>
          <w:rFonts w:ascii="標楷體" w:eastAsia="標楷體" w:hAnsi="標楷體"/>
        </w:rPr>
        <w:t>資料變革：無。</w:t>
      </w:r>
    </w:p>
    <w:p w14:paraId="7AC0F985" w14:textId="77777777" w:rsidR="004E4473" w:rsidRDefault="00DC1123">
      <w:pPr>
        <w:pStyle w:val="Standard"/>
        <w:spacing w:line="320" w:lineRule="exact"/>
        <w:jc w:val="both"/>
        <w:rPr>
          <w:rFonts w:ascii="標楷體" w:eastAsia="標楷體" w:hAnsi="標楷體"/>
        </w:rPr>
      </w:pPr>
      <w:r>
        <w:rPr>
          <w:rFonts w:ascii="標楷體" w:eastAsia="標楷體" w:hAnsi="標楷體"/>
        </w:rPr>
        <w:t>四、公開資料發布訊息</w:t>
      </w:r>
    </w:p>
    <w:p w14:paraId="58316757" w14:textId="77777777" w:rsidR="004E4473" w:rsidRDefault="00DC1123">
      <w:pPr>
        <w:pStyle w:val="Standard"/>
        <w:spacing w:line="320" w:lineRule="exact"/>
        <w:ind w:firstLine="280"/>
        <w:jc w:val="both"/>
      </w:pPr>
      <w:r>
        <w:rPr>
          <w:rFonts w:ascii="標楷體" w:eastAsia="標楷體" w:hAnsi="標楷體"/>
        </w:rPr>
        <w:t>＊預告發布日期：次年</w:t>
      </w:r>
      <w:r>
        <w:rPr>
          <w:rFonts w:ascii="標楷體" w:eastAsia="標楷體" w:hAnsi="標楷體"/>
        </w:rPr>
        <w:t>2</w:t>
      </w:r>
      <w:r>
        <w:rPr>
          <w:rFonts w:ascii="標楷體" w:eastAsia="標楷體" w:hAnsi="標楷體"/>
        </w:rPr>
        <w:t>個半月</w:t>
      </w:r>
      <w:r>
        <w:rPr>
          <w:rFonts w:ascii="標楷體" w:eastAsia="標楷體" w:hAnsi="標楷體"/>
        </w:rPr>
        <w:t>(</w:t>
      </w:r>
      <w:r>
        <w:rPr>
          <w:rFonts w:ascii="標楷體" w:eastAsia="標楷體" w:hAnsi="標楷體"/>
        </w:rPr>
        <w:t>原訂預告發布日期如遇例假日或國定假日則延至下一</w:t>
      </w:r>
    </w:p>
    <w:p w14:paraId="7A56508A" w14:textId="77777777" w:rsidR="004E4473" w:rsidRDefault="00DC1123">
      <w:pPr>
        <w:pStyle w:val="Standard"/>
        <w:spacing w:line="320" w:lineRule="exact"/>
        <w:ind w:firstLine="480"/>
        <w:jc w:val="both"/>
      </w:pPr>
      <w:r>
        <w:rPr>
          <w:rFonts w:ascii="標楷體" w:eastAsia="標楷體" w:hAnsi="標楷體"/>
        </w:rPr>
        <w:t>個工作日發布</w:t>
      </w:r>
      <w:r>
        <w:rPr>
          <w:rFonts w:ascii="標楷體" w:eastAsia="標楷體" w:hAnsi="標楷體"/>
        </w:rPr>
        <w:t>)</w:t>
      </w:r>
      <w:r>
        <w:rPr>
          <w:rFonts w:ascii="標楷體" w:eastAsia="標楷體" w:hAnsi="標楷體"/>
        </w:rPr>
        <w:t>。</w:t>
      </w:r>
    </w:p>
    <w:p w14:paraId="5C5CB977" w14:textId="77777777" w:rsidR="004E4473" w:rsidRDefault="00DC1123">
      <w:pPr>
        <w:pStyle w:val="Standard"/>
        <w:spacing w:line="320" w:lineRule="exact"/>
        <w:ind w:firstLine="280"/>
        <w:jc w:val="both"/>
      </w:pPr>
      <w:r>
        <w:rPr>
          <w:rFonts w:ascii="標楷體" w:eastAsia="標楷體" w:hAnsi="標楷體"/>
        </w:rPr>
        <w:t>＊同步發送單位：</w:t>
      </w:r>
      <w:r>
        <w:rPr>
          <w:rFonts w:eastAsia="標楷體"/>
        </w:rPr>
        <w:t>臺中市政府主計處</w:t>
      </w:r>
      <w:r>
        <w:rPr>
          <w:rFonts w:ascii="標楷體" w:eastAsia="標楷體" w:hAnsi="標楷體"/>
        </w:rPr>
        <w:t>。</w:t>
      </w:r>
    </w:p>
    <w:p w14:paraId="6C43E378" w14:textId="77777777" w:rsidR="004E4473" w:rsidRDefault="00DC1123">
      <w:pPr>
        <w:pStyle w:val="Standard"/>
        <w:spacing w:line="320" w:lineRule="exact"/>
        <w:jc w:val="both"/>
        <w:rPr>
          <w:rFonts w:ascii="標楷體" w:eastAsia="標楷體" w:hAnsi="標楷體"/>
        </w:rPr>
      </w:pPr>
      <w:r>
        <w:rPr>
          <w:rFonts w:ascii="標楷體" w:eastAsia="標楷體" w:hAnsi="標楷體"/>
        </w:rPr>
        <w:lastRenderedPageBreak/>
        <w:t>五、資料品質</w:t>
      </w:r>
    </w:p>
    <w:p w14:paraId="037A5940" w14:textId="77777777" w:rsidR="004E4473" w:rsidRDefault="00DC1123">
      <w:pPr>
        <w:pStyle w:val="Standard"/>
        <w:spacing w:line="320" w:lineRule="exact"/>
        <w:ind w:left="600" w:hanging="240"/>
        <w:jc w:val="both"/>
      </w:pPr>
      <w:r>
        <w:rPr>
          <w:rFonts w:ascii="標楷體" w:eastAsia="標楷體" w:hAnsi="標楷體"/>
        </w:rPr>
        <w:t>＊統計指標編製方法與資料來源說明：本局水利工程科依據「現有禦潮</w:t>
      </w:r>
      <w:r>
        <w:rPr>
          <w:rFonts w:ascii="標楷體" w:eastAsia="標楷體" w:hAnsi="標楷體"/>
        </w:rPr>
        <w:t>(</w:t>
      </w:r>
      <w:r>
        <w:rPr>
          <w:rFonts w:ascii="標楷體" w:eastAsia="標楷體" w:hAnsi="標楷體"/>
        </w:rPr>
        <w:t>海堤</w:t>
      </w:r>
      <w:r>
        <w:rPr>
          <w:rFonts w:ascii="標楷體" w:eastAsia="標楷體" w:hAnsi="標楷體"/>
        </w:rPr>
        <w:t>)</w:t>
      </w:r>
      <w:r>
        <w:rPr>
          <w:rFonts w:ascii="標楷體" w:eastAsia="標楷體" w:hAnsi="標楷體"/>
        </w:rPr>
        <w:t>設施登記冊」相關資料彙編。。</w:t>
      </w:r>
    </w:p>
    <w:p w14:paraId="07BE9A09" w14:textId="77777777" w:rsidR="004E4473" w:rsidRDefault="00DC1123">
      <w:pPr>
        <w:pStyle w:val="Standard"/>
        <w:spacing w:line="320" w:lineRule="exact"/>
        <w:ind w:left="600" w:hanging="240"/>
        <w:jc w:val="both"/>
        <w:rPr>
          <w:rFonts w:ascii="標楷體" w:eastAsia="標楷體" w:hAnsi="標楷體"/>
        </w:rPr>
      </w:pPr>
      <w:r>
        <w:rPr>
          <w:rFonts w:ascii="標楷體" w:eastAsia="標楷體" w:hAnsi="標楷體"/>
        </w:rPr>
        <w:t>＊統計資料交叉查核及確保資料合理性之機制：業務單位、會計室、經濟部水利署交叉查核確保資料合理性。</w:t>
      </w:r>
    </w:p>
    <w:p w14:paraId="3627FE12" w14:textId="77777777" w:rsidR="004E4473" w:rsidRDefault="00DC1123">
      <w:pPr>
        <w:pStyle w:val="Standard"/>
        <w:spacing w:line="320" w:lineRule="exact"/>
        <w:jc w:val="both"/>
      </w:pPr>
      <w:r>
        <w:rPr>
          <w:rFonts w:ascii="標楷體" w:eastAsia="標楷體" w:hAnsi="標楷體"/>
        </w:rPr>
        <w:t>六、須注意及預定改變之事項：表號</w:t>
      </w:r>
      <w:r>
        <w:rPr>
          <w:rFonts w:ascii="標楷體" w:eastAsia="標楷體" w:hAnsi="標楷體"/>
        </w:rPr>
        <w:t>20535-09-12-2</w:t>
      </w:r>
      <w:r>
        <w:rPr>
          <w:rFonts w:ascii="標楷體" w:eastAsia="標楷體" w:hAnsi="標楷體"/>
        </w:rPr>
        <w:t>。</w:t>
      </w:r>
    </w:p>
    <w:p w14:paraId="374AD839" w14:textId="77777777" w:rsidR="004E4473" w:rsidRDefault="00DC1123">
      <w:pPr>
        <w:pStyle w:val="Standard"/>
        <w:spacing w:line="320" w:lineRule="exact"/>
        <w:jc w:val="both"/>
        <w:rPr>
          <w:rFonts w:ascii="標楷體" w:eastAsia="標楷體" w:hAnsi="標楷體"/>
        </w:rPr>
      </w:pPr>
      <w:r>
        <w:rPr>
          <w:rFonts w:ascii="標楷體" w:eastAsia="標楷體" w:hAnsi="標楷體"/>
        </w:rPr>
        <w:t>七、</w:t>
      </w:r>
      <w:r>
        <w:rPr>
          <w:rFonts w:ascii="標楷體" w:eastAsia="標楷體" w:hAnsi="標楷體"/>
        </w:rPr>
        <w:t>其他事項：無。</w:t>
      </w:r>
    </w:p>
    <w:p w14:paraId="4D55DAD2" w14:textId="77777777" w:rsidR="004E4473" w:rsidRDefault="004E4473">
      <w:pPr>
        <w:pStyle w:val="Standard"/>
        <w:spacing w:line="320" w:lineRule="exact"/>
        <w:jc w:val="both"/>
        <w:rPr>
          <w:rFonts w:ascii="標楷體" w:eastAsia="標楷體" w:hAnsi="標楷體"/>
        </w:rPr>
      </w:pPr>
    </w:p>
    <w:p w14:paraId="71B89B81" w14:textId="77777777" w:rsidR="004E4473" w:rsidRDefault="004E4473">
      <w:pPr>
        <w:pStyle w:val="Standard"/>
        <w:spacing w:line="320" w:lineRule="exact"/>
        <w:ind w:firstLine="280"/>
        <w:jc w:val="both"/>
        <w:rPr>
          <w:rFonts w:ascii="標楷體" w:eastAsia="標楷體" w:hAnsi="標楷體"/>
        </w:rPr>
      </w:pPr>
    </w:p>
    <w:sectPr w:rsidR="004E447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46E84" w14:textId="77777777" w:rsidR="00000000" w:rsidRDefault="00DC1123">
      <w:pPr>
        <w:rPr>
          <w:rFonts w:hint="eastAsia"/>
        </w:rPr>
      </w:pPr>
      <w:r>
        <w:separator/>
      </w:r>
    </w:p>
  </w:endnote>
  <w:endnote w:type="continuationSeparator" w:id="0">
    <w:p w14:paraId="0AD91958" w14:textId="77777777" w:rsidR="00000000" w:rsidRDefault="00DC112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思源黑體 TW">
    <w:altName w:val="Calibri"/>
    <w:charset w:val="00"/>
    <w:family w:val="auto"/>
    <w:pitch w:val="variable"/>
  </w:font>
  <w:font w:name="新細明體, PMingLiU">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28F4F" w14:textId="77777777" w:rsidR="00000000" w:rsidRDefault="00DC1123">
      <w:pPr>
        <w:rPr>
          <w:rFonts w:hint="eastAsia"/>
        </w:rPr>
      </w:pPr>
      <w:r>
        <w:rPr>
          <w:color w:val="000000"/>
        </w:rPr>
        <w:separator/>
      </w:r>
    </w:p>
  </w:footnote>
  <w:footnote w:type="continuationSeparator" w:id="0">
    <w:p w14:paraId="2E3C1740" w14:textId="77777777" w:rsidR="00000000" w:rsidRDefault="00DC112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7C0"/>
    <w:multiLevelType w:val="multilevel"/>
    <w:tmpl w:val="6C9889B8"/>
    <w:styleLink w:val="WW8Num6"/>
    <w:lvl w:ilvl="0">
      <w:start w:val="1"/>
      <w:numFmt w:val="japaneseCounting"/>
      <w:lvlText w:val="(%1)"/>
      <w:lvlJc w:val="left"/>
      <w:pPr>
        <w:ind w:left="1080" w:hanging="48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1" w15:restartNumberingAfterBreak="0">
    <w:nsid w:val="19BA344E"/>
    <w:multiLevelType w:val="multilevel"/>
    <w:tmpl w:val="A4CEF2FE"/>
    <w:styleLink w:val="WW8Num5"/>
    <w:lvl w:ilvl="0">
      <w:numFmt w:val="bullet"/>
      <w:lvlText w:val="＊"/>
      <w:lvlJc w:val="left"/>
      <w:pPr>
        <w:ind w:left="579" w:hanging="28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8393B57"/>
    <w:multiLevelType w:val="multilevel"/>
    <w:tmpl w:val="7B5E4312"/>
    <w:styleLink w:val="WW8Num1"/>
    <w:lvl w:ilvl="0">
      <w:start w:val="1"/>
      <w:numFmt w:val="japaneseCounting"/>
      <w:lvlText w:val="%1、"/>
      <w:lvlJc w:val="left"/>
      <w:pPr>
        <w:ind w:left="570" w:hanging="57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DFD590B"/>
    <w:multiLevelType w:val="multilevel"/>
    <w:tmpl w:val="AC3627F4"/>
    <w:styleLink w:val="WW8Num4"/>
    <w:lvl w:ilvl="0">
      <w:numFmt w:val="bullet"/>
      <w:lvlText w:val="＊"/>
      <w:lvlJc w:val="left"/>
      <w:pPr>
        <w:ind w:left="622" w:hanging="480"/>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5D9C78E1"/>
    <w:multiLevelType w:val="multilevel"/>
    <w:tmpl w:val="25A0F382"/>
    <w:styleLink w:val="WW8Num2"/>
    <w:lvl w:ilvl="0">
      <w:start w:val="1"/>
      <w:numFmt w:val="japaneseCounting"/>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5FC678E7"/>
    <w:multiLevelType w:val="multilevel"/>
    <w:tmpl w:val="1B0C1CD8"/>
    <w:styleLink w:val="WW8Num3"/>
    <w:lvl w:ilvl="0">
      <w:start w:val="1"/>
      <w:numFmt w:val="decimal"/>
      <w:lvlText w:val="(%1)"/>
      <w:lvlJc w:val="left"/>
      <w:pPr>
        <w:ind w:left="2800" w:hanging="360"/>
      </w:pPr>
    </w:lvl>
    <w:lvl w:ilvl="1">
      <w:start w:val="1"/>
      <w:numFmt w:val="ideographTraditional"/>
      <w:lvlText w:val="%2、"/>
      <w:lvlJc w:val="left"/>
      <w:pPr>
        <w:ind w:left="3400" w:hanging="480"/>
      </w:pPr>
    </w:lvl>
    <w:lvl w:ilvl="2">
      <w:start w:val="1"/>
      <w:numFmt w:val="lowerRoman"/>
      <w:lvlText w:val="%3."/>
      <w:lvlJc w:val="right"/>
      <w:pPr>
        <w:ind w:left="3880" w:hanging="480"/>
      </w:pPr>
    </w:lvl>
    <w:lvl w:ilvl="3">
      <w:start w:val="1"/>
      <w:numFmt w:val="decimal"/>
      <w:lvlText w:val="%4."/>
      <w:lvlJc w:val="left"/>
      <w:pPr>
        <w:ind w:left="4360" w:hanging="480"/>
      </w:pPr>
    </w:lvl>
    <w:lvl w:ilvl="4">
      <w:start w:val="1"/>
      <w:numFmt w:val="ideographTraditional"/>
      <w:lvlText w:val="%5、"/>
      <w:lvlJc w:val="left"/>
      <w:pPr>
        <w:ind w:left="4840" w:hanging="480"/>
      </w:pPr>
    </w:lvl>
    <w:lvl w:ilvl="5">
      <w:start w:val="1"/>
      <w:numFmt w:val="lowerRoman"/>
      <w:lvlText w:val="%6."/>
      <w:lvlJc w:val="right"/>
      <w:pPr>
        <w:ind w:left="5320" w:hanging="480"/>
      </w:pPr>
    </w:lvl>
    <w:lvl w:ilvl="6">
      <w:start w:val="1"/>
      <w:numFmt w:val="decimal"/>
      <w:lvlText w:val="%7."/>
      <w:lvlJc w:val="left"/>
      <w:pPr>
        <w:ind w:left="5800" w:hanging="480"/>
      </w:pPr>
    </w:lvl>
    <w:lvl w:ilvl="7">
      <w:start w:val="1"/>
      <w:numFmt w:val="ideographTraditional"/>
      <w:lvlText w:val="%8、"/>
      <w:lvlJc w:val="left"/>
      <w:pPr>
        <w:ind w:left="6280" w:hanging="480"/>
      </w:pPr>
    </w:lvl>
    <w:lvl w:ilvl="8">
      <w:start w:val="1"/>
      <w:numFmt w:val="lowerRoman"/>
      <w:lvlText w:val="%9."/>
      <w:lvlJc w:val="right"/>
      <w:pPr>
        <w:ind w:left="6760" w:hanging="480"/>
      </w:pPr>
    </w:lvl>
  </w:abstractNum>
  <w:num w:numId="1" w16cid:durableId="1266572132">
    <w:abstractNumId w:val="2"/>
  </w:num>
  <w:num w:numId="2" w16cid:durableId="958073201">
    <w:abstractNumId w:val="4"/>
  </w:num>
  <w:num w:numId="3" w16cid:durableId="55279355">
    <w:abstractNumId w:val="5"/>
  </w:num>
  <w:num w:numId="4" w16cid:durableId="537283886">
    <w:abstractNumId w:val="3"/>
  </w:num>
  <w:num w:numId="5" w16cid:durableId="1371028006">
    <w:abstractNumId w:val="1"/>
  </w:num>
  <w:num w:numId="6" w16cid:durableId="1919434476">
    <w:abstractNumId w:val="0"/>
  </w:num>
  <w:num w:numId="7" w16cid:durableId="689599209">
    <w:abstractNumId w:val="2"/>
    <w:lvlOverride w:ilvl="0">
      <w:startOverride w:val="1"/>
    </w:lvlOverride>
  </w:num>
  <w:num w:numId="8" w16cid:durableId="1456560498">
    <w:abstractNumId w:val="1"/>
    <w:lvlOverride w:ilvl="0"/>
  </w:num>
  <w:num w:numId="9" w16cid:durableId="1307202385">
    <w:abstractNumId w:val="3"/>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E4473"/>
    <w:rsid w:val="004E4473"/>
    <w:rsid w:val="00DC11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45CE8"/>
  <w15:docId w15:val="{50BF06FB-F6E0-4890-B861-4CFA5CEC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思源黑體 TW"/>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思源黑體 TW"/>
      <w:sz w:val="28"/>
      <w:szCs w:val="28"/>
    </w:rPr>
  </w:style>
  <w:style w:type="paragraph" w:customStyle="1" w:styleId="Textbody">
    <w:name w:val="Text body"/>
    <w:basedOn w:val="Standard"/>
    <w:pPr>
      <w:spacing w:after="140" w:line="276" w:lineRule="auto"/>
    </w:pPr>
  </w:style>
  <w:style w:type="paragraph" w:styleId="a3">
    <w:name w:val="List"/>
    <w:basedOn w:val="Textbody"/>
    <w:rPr>
      <w:rFonts w:cs="思源黑體 TW"/>
    </w:rPr>
  </w:style>
  <w:style w:type="paragraph" w:styleId="a4">
    <w:name w:val="caption"/>
    <w:basedOn w:val="Standard"/>
    <w:pPr>
      <w:suppressLineNumbers/>
      <w:spacing w:before="120" w:after="120"/>
    </w:pPr>
    <w:rPr>
      <w:rFonts w:cs="思源黑體 TW"/>
      <w:i/>
      <w:iCs/>
      <w:szCs w:val="24"/>
    </w:rPr>
  </w:style>
  <w:style w:type="paragraph" w:customStyle="1" w:styleId="Index">
    <w:name w:val="Index"/>
    <w:basedOn w:val="Standard"/>
    <w:pPr>
      <w:suppressLineNumbers/>
    </w:pPr>
    <w:rPr>
      <w:rFonts w:cs="思源黑體 TW"/>
    </w:rPr>
  </w:style>
  <w:style w:type="paragraph" w:styleId="a5">
    <w:name w:val="header"/>
    <w:basedOn w:val="Standard"/>
    <w:pPr>
      <w:tabs>
        <w:tab w:val="center" w:pos="4153"/>
        <w:tab w:val="right" w:pos="8306"/>
      </w:tabs>
      <w:snapToGrid w:val="0"/>
    </w:pPr>
    <w:rPr>
      <w:sz w:val="20"/>
    </w:rPr>
  </w:style>
  <w:style w:type="paragraph" w:styleId="a6">
    <w:name w:val="footer"/>
    <w:basedOn w:val="Standard"/>
    <w:pPr>
      <w:tabs>
        <w:tab w:val="center" w:pos="4153"/>
        <w:tab w:val="right" w:pos="8306"/>
      </w:tabs>
      <w:snapToGrid w:val="0"/>
    </w:pPr>
    <w:rPr>
      <w:sz w:val="20"/>
    </w:rPr>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標楷體" w:eastAsia="標楷體" w:hAnsi="標楷體" w:cs="Times New Roman"/>
    </w:rPr>
  </w:style>
  <w:style w:type="character" w:customStyle="1" w:styleId="WW8Num5z0">
    <w:name w:val="WW8Num5z0"/>
    <w:rPr>
      <w:rFonts w:ascii="標楷體" w:eastAsia="標楷體" w:hAnsi="標楷體" w:cs="Times New Roman"/>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a7">
    <w:name w:val="頁首 字元"/>
    <w:rPr>
      <w:kern w:val="3"/>
    </w:rPr>
  </w:style>
  <w:style w:type="character" w:customStyle="1" w:styleId="a8">
    <w:name w:val="頁尾 字元"/>
    <w:rPr>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98098y98@taichung.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附件四</dc:title>
  <dc:subject/>
  <dc:creator>高雄市政府</dc:creator>
  <cp:keywords/>
  <cp:lastModifiedBy>cws</cp:lastModifiedBy>
  <cp:revision>2</cp:revision>
  <dcterms:created xsi:type="dcterms:W3CDTF">2025-02-13T03:10:00Z</dcterms:created>
  <dcterms:modified xsi:type="dcterms:W3CDTF">2025-02-13T03:10:00Z</dcterms:modified>
</cp:coreProperties>
</file>