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C58" w:rsidRDefault="00D930B5">
      <w:pPr>
        <w:pStyle w:val="Standard"/>
        <w:spacing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臺中市海岸環境改善工程</w:t>
      </w:r>
    </w:p>
    <w:p w:rsidR="00D13C58" w:rsidRDefault="00D930B5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D13C58" w:rsidRDefault="00D930B5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D13C58" w:rsidRDefault="00D930B5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臺中市海岸環境改善工程</w:t>
      </w:r>
    </w:p>
    <w:p w:rsidR="00D13C58" w:rsidRDefault="00D930B5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D13C58" w:rsidRDefault="00D930B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D13C58" w:rsidRDefault="00D930B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D13C58" w:rsidRDefault="00D930B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D13C58" w:rsidRDefault="00D930B5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D13C58" w:rsidRDefault="00D930B5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D13C58" w:rsidRDefault="00D930B5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D13C58" w:rsidRDefault="00D930B5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D13C58" w:rsidRDefault="00D930B5">
      <w:pPr>
        <w:pStyle w:val="Standard"/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D13C58" w:rsidRDefault="00D930B5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D13C58" w:rsidRDefault="00D930B5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D13C58" w:rsidRDefault="00D930B5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D13C58" w:rsidRDefault="00D930B5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D13C58" w:rsidRDefault="00D930B5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D13C58" w:rsidRDefault="00D930B5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統計地區範圍及對象：凡本市所轄所有海岸環境改善工程均為統計對象。</w:t>
      </w:r>
    </w:p>
    <w:p w:rsidR="00D13C58" w:rsidRDefault="00D930B5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D13C58" w:rsidRDefault="00D930B5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D13C58" w:rsidRDefault="00D930B5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3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海堤：沿海築堤謂之，為保護沿海岸之低地以防潮水浸入與巨浪海嘯侵襲之建築；並包含建於沿海感潮範圍內之河口防潮堤。</w:t>
      </w:r>
    </w:p>
    <w:p w:rsidR="00D13C58" w:rsidRDefault="00D930B5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離岸堤：乃一離開陸地，平行海岸而獨立於海中用以抵禦波浪侵襲，消滅波浪能量，以求堤內遮蔽靜海面之結構物。</w:t>
      </w:r>
    </w:p>
    <w:p w:rsidR="00D13C58" w:rsidRDefault="00D930B5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海岸保護工：在海堤前灘擺放具備有孔隙率及糙率，以達到消殺波浪能量之天然塊石或混凝土波塊之結構物。</w:t>
      </w:r>
    </w:p>
    <w:p w:rsidR="00D13C58" w:rsidRDefault="00D930B5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水門：視河川水位高度關閉閘門以阻斷倒灌情形發生之構造物。</w:t>
      </w:r>
    </w:p>
    <w:p w:rsidR="00D13C58" w:rsidRDefault="00D930B5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597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D13C58" w:rsidRDefault="00D930B5">
      <w:pPr>
        <w:pStyle w:val="Standard"/>
        <w:tabs>
          <w:tab w:val="left" w:pos="1320"/>
          <w:tab w:val="left" w:pos="2280"/>
          <w:tab w:val="left" w:pos="3240"/>
          <w:tab w:val="left" w:pos="4200"/>
          <w:tab w:val="left" w:pos="5160"/>
          <w:tab w:val="left" w:pos="6120"/>
          <w:tab w:val="left" w:pos="7080"/>
          <w:tab w:val="left" w:pos="8040"/>
          <w:tab w:val="left" w:pos="9000"/>
          <w:tab w:val="left" w:pos="9960"/>
          <w:tab w:val="left" w:pos="10920"/>
          <w:tab w:val="left" w:pos="11880"/>
          <w:tab w:val="left" w:pos="12840"/>
        </w:tabs>
        <w:autoSpaceDE w:val="0"/>
        <w:ind w:left="360" w:firstLine="1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環境改善：為辦理海堤綠化及環境改善等相關工程之長度、面積和其他。</w:t>
      </w:r>
    </w:p>
    <w:p w:rsidR="00D13C58" w:rsidRDefault="00D930B5">
      <w:pPr>
        <w:pStyle w:val="Standard"/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autoSpaceDE w:val="0"/>
        <w:ind w:firstLine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:rsidR="00D13C58" w:rsidRDefault="00D930B5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:rsidR="00D13C58" w:rsidRDefault="00D930B5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:rsidR="00D13C58" w:rsidRDefault="00D930B5">
      <w:pPr>
        <w:pStyle w:val="Standard"/>
        <w:spacing w:line="320" w:lineRule="exact"/>
        <w:ind w:left="1920" w:hanging="1560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環境改善工程：為達自然、生態、休閒之景觀復育目標而施設之工程謂之。</w:t>
      </w:r>
    </w:p>
    <w:p w:rsidR="00D13C58" w:rsidRDefault="00D930B5">
      <w:pPr>
        <w:pStyle w:val="Standard"/>
        <w:spacing w:line="320" w:lineRule="exact"/>
        <w:ind w:left="1920" w:hanging="1634"/>
        <w:jc w:val="both"/>
      </w:pPr>
      <w:r>
        <w:rPr>
          <w:rFonts w:ascii="標楷體" w:eastAsia="標楷體" w:hAnsi="標楷體"/>
        </w:rPr>
        <w:t>＊統計單位：公里、公尺、座、處。</w:t>
      </w:r>
    </w:p>
    <w:p w:rsidR="00D13C58" w:rsidRDefault="00D930B5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D13C58" w:rsidRDefault="00D930B5">
      <w:pPr>
        <w:pStyle w:val="Standard"/>
        <w:tabs>
          <w:tab w:val="left" w:pos="3228"/>
          <w:tab w:val="left" w:pos="4188"/>
          <w:tab w:val="left" w:pos="5148"/>
          <w:tab w:val="left" w:pos="6108"/>
          <w:tab w:val="left" w:pos="7068"/>
          <w:tab w:val="left" w:pos="8028"/>
          <w:tab w:val="left" w:pos="8988"/>
          <w:tab w:val="left" w:pos="9948"/>
          <w:tab w:val="left" w:pos="10908"/>
          <w:tab w:val="left" w:pos="11868"/>
          <w:tab w:val="left" w:pos="12828"/>
          <w:tab w:val="left" w:pos="13788"/>
        </w:tabs>
        <w:autoSpaceDE w:val="0"/>
        <w:spacing w:line="320" w:lineRule="exact"/>
        <w:ind w:left="2268" w:hanging="1548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海堤、離岸堤、海岸保護工、水門、其他；環境改善再分為長度、面積、其他；工程決算數再分為總計、中央經費、直轄市、縣（市）政府配合款、直轄市、縣（市）政府自辦經費、其他等項。</w:t>
      </w:r>
    </w:p>
    <w:p w:rsidR="00D13C58" w:rsidRDefault="00D930B5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</w:tabs>
        <w:autoSpaceDE w:val="0"/>
        <w:spacing w:line="320" w:lineRule="exact"/>
        <w:ind w:left="1077" w:hanging="368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橫項目：依區別分類。</w:t>
      </w:r>
    </w:p>
    <w:p w:rsidR="00D13C58" w:rsidRDefault="00D930B5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</w:rPr>
        <w:lastRenderedPageBreak/>
        <w:t>發布週期：年</w:t>
      </w:r>
    </w:p>
    <w:p w:rsidR="00D13C58" w:rsidRDefault="00D930B5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D13C58" w:rsidRDefault="00D930B5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</w:rPr>
        <w:t>資料變革：無。</w:t>
      </w:r>
    </w:p>
    <w:p w:rsidR="00D13C58" w:rsidRDefault="00D930B5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D13C58" w:rsidRDefault="00D930B5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</w:t>
      </w:r>
      <w:r>
        <w:rPr>
          <w:rFonts w:ascii="標楷體" w:eastAsia="標楷體" w:hAnsi="標楷體"/>
        </w:rPr>
        <w:t>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D13C58" w:rsidRDefault="00D930B5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D13C58" w:rsidRDefault="00D930B5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D13C58" w:rsidRDefault="00D930B5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D13C58" w:rsidRDefault="00D930B5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＊統計指標編製方法與資料來源說明：本局水利工程科依據「海岸環境改善工程登記冊」相關資料彙編。</w:t>
      </w:r>
    </w:p>
    <w:p w:rsidR="00D13C58" w:rsidRDefault="00D930B5">
      <w:pPr>
        <w:pStyle w:val="Standard"/>
        <w:spacing w:line="320" w:lineRule="exact"/>
        <w:ind w:left="48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D13C58" w:rsidRDefault="00D930B5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20535-09-07-2</w:t>
      </w:r>
      <w:r>
        <w:rPr>
          <w:rFonts w:ascii="標楷體" w:eastAsia="標楷體" w:hAnsi="標楷體"/>
        </w:rPr>
        <w:t>。</w:t>
      </w:r>
    </w:p>
    <w:p w:rsidR="00D13C58" w:rsidRDefault="00D930B5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D13C58" w:rsidRDefault="00D13C58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D13C58" w:rsidRDefault="00D13C58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D13C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930B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930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930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930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76F3B"/>
    <w:multiLevelType w:val="multilevel"/>
    <w:tmpl w:val="F252B782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FB2519"/>
    <w:multiLevelType w:val="multilevel"/>
    <w:tmpl w:val="F6140AF8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E136A3"/>
    <w:multiLevelType w:val="multilevel"/>
    <w:tmpl w:val="8F5C45D6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4E309B"/>
    <w:multiLevelType w:val="multilevel"/>
    <w:tmpl w:val="BBAEB97C"/>
    <w:styleLink w:val="WW8Num3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4" w15:restartNumberingAfterBreak="0">
    <w:nsid w:val="70B21E57"/>
    <w:multiLevelType w:val="multilevel"/>
    <w:tmpl w:val="4BC08752"/>
    <w:styleLink w:val="WW8Num2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71479DC"/>
    <w:multiLevelType w:val="multilevel"/>
    <w:tmpl w:val="983224C6"/>
    <w:styleLink w:val="WW8Num6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 w16cid:durableId="1517307591">
    <w:abstractNumId w:val="2"/>
  </w:num>
  <w:num w:numId="2" w16cid:durableId="1748918914">
    <w:abstractNumId w:val="4"/>
  </w:num>
  <w:num w:numId="3" w16cid:durableId="576792580">
    <w:abstractNumId w:val="3"/>
  </w:num>
  <w:num w:numId="4" w16cid:durableId="382556947">
    <w:abstractNumId w:val="1"/>
  </w:num>
  <w:num w:numId="5" w16cid:durableId="1128009568">
    <w:abstractNumId w:val="0"/>
  </w:num>
  <w:num w:numId="6" w16cid:durableId="549414299">
    <w:abstractNumId w:val="5"/>
  </w:num>
  <w:num w:numId="7" w16cid:durableId="1651908456">
    <w:abstractNumId w:val="2"/>
    <w:lvlOverride w:ilvl="0">
      <w:startOverride w:val="1"/>
    </w:lvlOverride>
  </w:num>
  <w:num w:numId="8" w16cid:durableId="1780492609">
    <w:abstractNumId w:val="0"/>
    <w:lvlOverride w:ilvl="0"/>
  </w:num>
  <w:num w:numId="9" w16cid:durableId="44743237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3C58"/>
    <w:rsid w:val="00D13C58"/>
    <w:rsid w:val="00D9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