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4E08" w14:textId="77777777" w:rsidR="000C66DA" w:rsidRDefault="00006373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14:paraId="11504261" w14:textId="77777777" w:rsidR="000C66DA" w:rsidRDefault="00006373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14:paraId="4F0F42ED" w14:textId="77777777" w:rsidR="000C66DA" w:rsidRDefault="00006373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臺中市河川環境改善工程</w:t>
      </w:r>
    </w:p>
    <w:p w14:paraId="17876713" w14:textId="77777777" w:rsidR="000C66DA" w:rsidRDefault="00006373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14:paraId="408A09BC" w14:textId="77777777" w:rsidR="000C66DA" w:rsidRDefault="0000637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14:paraId="0AA4563B" w14:textId="77777777" w:rsidR="000C66DA" w:rsidRDefault="0000637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14:paraId="5D8CBC3F" w14:textId="77777777" w:rsidR="000C66DA" w:rsidRDefault="0000637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14:paraId="7B1E9A2B" w14:textId="77777777" w:rsidR="000C66DA" w:rsidRDefault="00006373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14:paraId="600D694B" w14:textId="77777777" w:rsidR="000C66DA" w:rsidRDefault="00006373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7D8D3DE1" w14:textId="77777777" w:rsidR="000C66DA" w:rsidRDefault="00006373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2E8BE690" w14:textId="77777777" w:rsidR="000C66DA" w:rsidRDefault="00006373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4818E5AC" w14:textId="77777777" w:rsidR="000C66DA" w:rsidRDefault="00006373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7E2FDCA2" w14:textId="77777777" w:rsidR="000C66DA" w:rsidRDefault="00006373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0D303B4D" w14:textId="77777777" w:rsidR="000C66DA" w:rsidRDefault="00006373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0E5FA39C" w14:textId="77777777" w:rsidR="000C66DA" w:rsidRDefault="00006373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061458B7" w14:textId="77777777" w:rsidR="000C66DA" w:rsidRDefault="00006373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559C0B11" w14:textId="77777777" w:rsidR="000C66DA" w:rsidRDefault="00006373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5E6179EB" w14:textId="77777777" w:rsidR="000C66DA" w:rsidRDefault="00006373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統計地區範圍及對象：凡本市所轄河川環境改善工程均為統計對象。</w:t>
      </w:r>
    </w:p>
    <w:p w14:paraId="5C8F180B" w14:textId="77777777" w:rsidR="000C66DA" w:rsidRDefault="0000637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789A3882" w14:textId="77777777" w:rsidR="000C66DA" w:rsidRDefault="00006373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4F76BD40" w14:textId="77777777" w:rsidR="000C66DA" w:rsidRDefault="00006373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水系別：按每一水系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係自河川界點以下至出海口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區別。</w:t>
      </w:r>
    </w:p>
    <w:p w14:paraId="19471AFE" w14:textId="77777777" w:rsidR="000C66DA" w:rsidRDefault="00006373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堤防：築於河岸，防止河水泛濫，以保護田舍或導流歸槽之建築物。</w:t>
      </w:r>
    </w:p>
    <w:p w14:paraId="57E33479" w14:textId="77777777" w:rsidR="000C66DA" w:rsidRDefault="00006373">
      <w:pPr>
        <w:pStyle w:val="Standard"/>
        <w:spacing w:line="320" w:lineRule="exact"/>
        <w:ind w:left="18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護岸：為保護天然河岸而直接建築於岸坡（包括伸入河底部份之構造物），其目的以抵禦水流沖刷，防止河岸沖蝕。若高水護岸其岸頂應高於計畫洪水位，若低水護岸其岸頂通常與其後地盤同高並低於計畫洪水位，但宜高於一般尋常洪水位。</w:t>
      </w:r>
    </w:p>
    <w:p w14:paraId="4260FA9F" w14:textId="77777777" w:rsidR="000C66DA" w:rsidRDefault="00006373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環境改善面積：為達綠美化所做之環境改善。</w:t>
      </w:r>
    </w:p>
    <w:p w14:paraId="1D7B787C" w14:textId="77777777" w:rsidR="000C66DA" w:rsidRDefault="00006373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14:paraId="24C9F4E8" w14:textId="77777777" w:rsidR="000C66DA" w:rsidRDefault="00006373">
      <w:pPr>
        <w:pStyle w:val="Standard"/>
        <w:spacing w:line="320" w:lineRule="exact"/>
        <w:ind w:left="57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14:paraId="72C5232C" w14:textId="77777777" w:rsidR="000C66DA" w:rsidRDefault="00006373">
      <w:pPr>
        <w:pStyle w:val="Standard"/>
        <w:spacing w:line="320" w:lineRule="exact"/>
        <w:ind w:left="1680" w:hanging="10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14:paraId="0FE34659" w14:textId="77777777" w:rsidR="000C66DA" w:rsidRDefault="00006373">
      <w:pPr>
        <w:pStyle w:val="Standard"/>
        <w:spacing w:line="320" w:lineRule="exact"/>
        <w:ind w:left="1680" w:hanging="10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</w:t>
      </w:r>
      <w:r>
        <w:rPr>
          <w:rFonts w:ascii="標楷體" w:eastAsia="標楷體" w:hAnsi="標楷體"/>
        </w:rPr>
        <w:t>：除中央補助工程外，直轄市、縣（市）政府、鄉（鎮、市、區）自行籌措編列經費辦理工程之款項。</w:t>
      </w:r>
    </w:p>
    <w:p w14:paraId="1D0E8572" w14:textId="77777777" w:rsidR="000C66DA" w:rsidRDefault="00006373">
      <w:pPr>
        <w:pStyle w:val="Standard"/>
        <w:spacing w:line="320" w:lineRule="exact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環境改善工程：為達自然、生態、休閒之景觀復育目標而施設之工程謂之</w:t>
      </w:r>
    </w:p>
    <w:p w14:paraId="51223A55" w14:textId="77777777" w:rsidR="000C66DA" w:rsidRDefault="00006373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統計單位：新臺幣千元。</w:t>
      </w:r>
    </w:p>
    <w:p w14:paraId="2924B981" w14:textId="77777777" w:rsidR="000C66DA" w:rsidRDefault="00006373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14:paraId="00ED4F8D" w14:textId="77777777" w:rsidR="000C66DA" w:rsidRDefault="00006373">
      <w:pPr>
        <w:pStyle w:val="Standard"/>
        <w:spacing w:line="320" w:lineRule="exact"/>
        <w:ind w:left="2124" w:hanging="1526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縱項目：分為河川別、施工地點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堤防、護岸、環境改善面積、其他；工程決算數再分為總計、中央經費、直轄市、縣（市）政府配合款、直轄市、縣（市）政府自辦經費、其他。</w:t>
      </w:r>
    </w:p>
    <w:p w14:paraId="2B1184DA" w14:textId="77777777" w:rsidR="000C66DA" w:rsidRDefault="00006373">
      <w:pPr>
        <w:pStyle w:val="Standard"/>
        <w:spacing w:line="320" w:lineRule="exact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橫項目：依水系別分類。</w:t>
      </w:r>
    </w:p>
    <w:p w14:paraId="5A22749D" w14:textId="77777777" w:rsidR="000C66DA" w:rsidRDefault="00006373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14:paraId="76E09312" w14:textId="77777777" w:rsidR="000C66DA" w:rsidRDefault="00006373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</w:t>
      </w:r>
      <w:r>
        <w:rPr>
          <w:rFonts w:ascii="標楷體" w:eastAsia="標楷體" w:hAnsi="標楷體"/>
        </w:rPr>
        <w:t>月</w:t>
      </w:r>
    </w:p>
    <w:p w14:paraId="20770E94" w14:textId="77777777" w:rsidR="000C66DA" w:rsidRDefault="00006373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資料變革：無</w:t>
      </w:r>
      <w:r>
        <w:rPr>
          <w:rFonts w:ascii="標楷體" w:eastAsia="標楷體" w:hAnsi="標楷體" w:cs="標楷體"/>
        </w:rPr>
        <w:t>。</w:t>
      </w:r>
    </w:p>
    <w:p w14:paraId="1277131E" w14:textId="77777777" w:rsidR="000C66DA" w:rsidRDefault="0000637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四、公開資料發布訊息</w:t>
      </w:r>
    </w:p>
    <w:p w14:paraId="7D252715" w14:textId="77777777" w:rsidR="000C66DA" w:rsidRDefault="00006373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/>
          <w:shd w:val="clear" w:color="auto" w:fill="FFFFFF"/>
        </w:rPr>
        <w:t>原訂預告發布日期如遇例假日或國定假日則延至下一個工作日發布</w:t>
      </w:r>
      <w:r>
        <w:rPr>
          <w:rFonts w:ascii="標楷體" w:eastAsia="標楷體" w:hAnsi="標楷體"/>
          <w:shd w:val="clear" w:color="auto" w:fill="FFFFFF"/>
        </w:rPr>
        <w:t>)</w:t>
      </w:r>
      <w:r>
        <w:rPr>
          <w:rFonts w:ascii="標楷體" w:eastAsia="標楷體" w:hAnsi="標楷體"/>
          <w:shd w:val="clear" w:color="auto" w:fill="FFFFFF"/>
        </w:rPr>
        <w:t>。</w:t>
      </w:r>
    </w:p>
    <w:p w14:paraId="155951E2" w14:textId="77777777" w:rsidR="000C66DA" w:rsidRDefault="00006373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＊同步發送單位：臺中市政府主計處</w:t>
      </w:r>
      <w:r>
        <w:rPr>
          <w:rFonts w:eastAsia="標楷體"/>
        </w:rPr>
        <w:t>。</w:t>
      </w:r>
    </w:p>
    <w:p w14:paraId="1EA70B51" w14:textId="77777777" w:rsidR="000C66DA" w:rsidRDefault="00006373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0969EF75" w14:textId="77777777" w:rsidR="000C66DA" w:rsidRDefault="00006373">
      <w:pPr>
        <w:pStyle w:val="Standard"/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＊統計指標編製方法與資料來源說明：本局水利工程科依據「河川環境改善工程登記冊」相關資料彙編。</w:t>
      </w:r>
    </w:p>
    <w:p w14:paraId="4014047D" w14:textId="77777777" w:rsidR="000C66DA" w:rsidRDefault="00006373">
      <w:pPr>
        <w:pStyle w:val="Standard"/>
        <w:spacing w:line="320" w:lineRule="exact"/>
        <w:ind w:left="48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14:paraId="5AFD16F6" w14:textId="77777777" w:rsidR="000C66DA" w:rsidRDefault="00006373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20535-09-01-2</w:t>
      </w:r>
      <w:r>
        <w:rPr>
          <w:rFonts w:ascii="標楷體" w:eastAsia="標楷體" w:hAnsi="標楷體" w:cs="標楷體"/>
        </w:rPr>
        <w:t>。</w:t>
      </w:r>
    </w:p>
    <w:p w14:paraId="3A66B642" w14:textId="77777777" w:rsidR="000C66DA" w:rsidRDefault="00006373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 w:cs="標楷體"/>
        </w:rPr>
        <w:t>。</w:t>
      </w:r>
    </w:p>
    <w:sectPr w:rsidR="000C66D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4BC2" w14:textId="77777777" w:rsidR="00000000" w:rsidRDefault="00006373">
      <w:pPr>
        <w:rPr>
          <w:rFonts w:hint="eastAsia"/>
        </w:rPr>
      </w:pPr>
      <w:r>
        <w:separator/>
      </w:r>
    </w:p>
  </w:endnote>
  <w:endnote w:type="continuationSeparator" w:id="0">
    <w:p w14:paraId="08A3DAC1" w14:textId="77777777" w:rsidR="00000000" w:rsidRDefault="000063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C21E" w14:textId="77777777" w:rsidR="00000000" w:rsidRDefault="0000637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9B9079" w14:textId="77777777" w:rsidR="00000000" w:rsidRDefault="0000637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137"/>
    <w:multiLevelType w:val="multilevel"/>
    <w:tmpl w:val="9F9CA2DA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1B57356"/>
    <w:multiLevelType w:val="multilevel"/>
    <w:tmpl w:val="18C47F44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2" w15:restartNumberingAfterBreak="0">
    <w:nsid w:val="1D463E38"/>
    <w:multiLevelType w:val="multilevel"/>
    <w:tmpl w:val="5492FF4A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D687E3C"/>
    <w:multiLevelType w:val="multilevel"/>
    <w:tmpl w:val="0A22311E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31B235D"/>
    <w:multiLevelType w:val="multilevel"/>
    <w:tmpl w:val="C6FC2C00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60074512">
    <w:abstractNumId w:val="4"/>
  </w:num>
  <w:num w:numId="2" w16cid:durableId="1542396663">
    <w:abstractNumId w:val="1"/>
  </w:num>
  <w:num w:numId="3" w16cid:durableId="628324624">
    <w:abstractNumId w:val="2"/>
  </w:num>
  <w:num w:numId="4" w16cid:durableId="1827670673">
    <w:abstractNumId w:val="3"/>
  </w:num>
  <w:num w:numId="5" w16cid:durableId="179853690">
    <w:abstractNumId w:val="0"/>
  </w:num>
  <w:num w:numId="6" w16cid:durableId="2044017869">
    <w:abstractNumId w:val="4"/>
    <w:lvlOverride w:ilvl="0">
      <w:startOverride w:val="1"/>
    </w:lvlOverride>
  </w:num>
  <w:num w:numId="7" w16cid:durableId="1903834045">
    <w:abstractNumId w:val="3"/>
    <w:lvlOverride w:ilvl="0"/>
  </w:num>
  <w:num w:numId="8" w16cid:durableId="1557230999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66DA"/>
    <w:rsid w:val="00006373"/>
    <w:rsid w:val="000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7BD06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2025-02-13T02:51:00Z</dcterms:created>
  <dcterms:modified xsi:type="dcterms:W3CDTF">2025-02-13T02:51:00Z</dcterms:modified>
</cp:coreProperties>
</file>