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873" w:rsidRDefault="00814377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:rsidR="00255873" w:rsidRDefault="00814377">
      <w:pPr>
        <w:rPr>
          <w:rFonts w:eastAsia="標楷體"/>
        </w:rPr>
      </w:pPr>
      <w:r>
        <w:rPr>
          <w:rFonts w:eastAsia="標楷體"/>
        </w:rPr>
        <w:t>資料種類：漁業統計</w:t>
      </w:r>
    </w:p>
    <w:p w:rsidR="00255873" w:rsidRDefault="00814377">
      <w:pPr>
        <w:rPr>
          <w:rFonts w:eastAsia="標楷體"/>
        </w:rPr>
      </w:pPr>
      <w:r>
        <w:rPr>
          <w:rFonts w:eastAsia="標楷體"/>
        </w:rPr>
        <w:t>資料項目：臺中市龍井區水產養殖面積－按魚類別分</w:t>
      </w:r>
    </w:p>
    <w:p w:rsidR="00255873" w:rsidRDefault="00814377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發布及編製機關單位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發布機關、單位：：臺中市龍井區公所會計室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編製單位：臺中市龍井區公所農業課</w:t>
      </w:r>
    </w:p>
    <w:p w:rsidR="00255873" w:rsidRDefault="00814377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聯絡電話：</w:t>
      </w:r>
      <w:r>
        <w:rPr>
          <w:rFonts w:eastAsia="標楷體"/>
        </w:rPr>
        <w:t>04-26352411#1142</w:t>
      </w:r>
    </w:p>
    <w:p w:rsidR="00255873" w:rsidRDefault="00814377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傳真：</w:t>
      </w:r>
      <w:r>
        <w:rPr>
          <w:rFonts w:eastAsia="標楷體"/>
        </w:rPr>
        <w:t>04-26354222</w:t>
      </w:r>
    </w:p>
    <w:p w:rsidR="00255873" w:rsidRDefault="00814377">
      <w:pPr>
        <w:numPr>
          <w:ilvl w:val="0"/>
          <w:numId w:val="1"/>
        </w:numPr>
        <w:spacing w:line="0" w:lineRule="atLeast"/>
      </w:pPr>
      <w:r>
        <w:rPr>
          <w:rFonts w:eastAsia="標楷體"/>
        </w:rPr>
        <w:t>電子信箱：</w:t>
      </w:r>
      <w:r>
        <w:rPr>
          <w:rFonts w:ascii="標楷體" w:eastAsia="標楷體" w:hAnsi="標楷體"/>
          <w:szCs w:val="24"/>
          <w:shd w:val="clear" w:color="auto" w:fill="FFFFFF"/>
        </w:rPr>
        <w:t>r208@taichung.gov.tw</w:t>
      </w:r>
      <w:r>
        <w:rPr>
          <w:rFonts w:eastAsia="標楷體"/>
        </w:rPr>
        <w:t>發布形式</w:t>
      </w:r>
    </w:p>
    <w:p w:rsidR="00255873" w:rsidRDefault="00814377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口頭：</w:t>
      </w:r>
    </w:p>
    <w:p w:rsidR="00255873" w:rsidRDefault="00814377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（）記者會或說明會</w:t>
      </w:r>
    </w:p>
    <w:p w:rsidR="00255873" w:rsidRDefault="00814377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書面：</w:t>
      </w:r>
    </w:p>
    <w:p w:rsidR="00255873" w:rsidRDefault="00814377">
      <w:pPr>
        <w:spacing w:line="0" w:lineRule="atLeast"/>
        <w:ind w:firstLine="960"/>
        <w:rPr>
          <w:rFonts w:eastAsia="標楷體"/>
        </w:rPr>
      </w:pPr>
      <w:r>
        <w:rPr>
          <w:rFonts w:eastAsia="標楷體"/>
        </w:rPr>
        <w:t>（）新聞稿</w:t>
      </w:r>
      <w:r>
        <w:rPr>
          <w:rFonts w:eastAsia="標楷體"/>
        </w:rPr>
        <w:t xml:space="preserve"> </w:t>
      </w:r>
      <w:r>
        <w:rPr>
          <w:rFonts w:eastAsia="標楷體"/>
        </w:rPr>
        <w:t>（）報表</w:t>
      </w:r>
      <w:r>
        <w:rPr>
          <w:rFonts w:eastAsia="標楷體"/>
        </w:rPr>
        <w:t xml:space="preserve"> </w:t>
      </w:r>
      <w:r>
        <w:rPr>
          <w:rFonts w:eastAsia="標楷體"/>
        </w:rPr>
        <w:t>（）書刊，刊名：</w:t>
      </w:r>
      <w:r>
        <w:rPr>
          <w:rFonts w:eastAsia="標楷體"/>
        </w:rPr>
        <w:t xml:space="preserve"> </w:t>
      </w:r>
    </w:p>
    <w:p w:rsidR="00255873" w:rsidRDefault="00814377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電子媒體：</w:t>
      </w:r>
    </w:p>
    <w:p w:rsidR="00255873" w:rsidRDefault="00814377">
      <w:pPr>
        <w:spacing w:line="0" w:lineRule="atLeast"/>
        <w:ind w:firstLine="960"/>
        <w:rPr>
          <w:rFonts w:eastAsia="標楷體"/>
          <w:bCs/>
        </w:rPr>
      </w:pPr>
      <w:r>
        <w:rPr>
          <w:rFonts w:eastAsia="標楷體"/>
          <w:bCs/>
        </w:rPr>
        <w:t>（）線上書刊及資料庫，網址：</w:t>
      </w:r>
    </w:p>
    <w:p w:rsidR="00255873" w:rsidRDefault="00814377">
      <w:pPr>
        <w:spacing w:line="0" w:lineRule="atLeast"/>
        <w:ind w:left="966" w:right="-328" w:hanging="294"/>
        <w:jc w:val="both"/>
      </w:pPr>
      <w:r>
        <w:rPr>
          <w:szCs w:val="24"/>
        </w:rPr>
        <w:t xml:space="preserve">  </w:t>
      </w:r>
      <w:r>
        <w:rPr>
          <w:rFonts w:eastAsia="標楷體"/>
        </w:rPr>
        <w:t>（）磁片</w:t>
      </w:r>
      <w:r>
        <w:rPr>
          <w:rFonts w:eastAsia="標楷體"/>
        </w:rPr>
        <w:t xml:space="preserve">    </w:t>
      </w:r>
      <w:r>
        <w:rPr>
          <w:rFonts w:eastAsia="標楷體"/>
        </w:rPr>
        <w:t>（）光碟片</w:t>
      </w:r>
      <w:r>
        <w:rPr>
          <w:rFonts w:eastAsia="標楷體"/>
        </w:rPr>
        <w:t xml:space="preserve">  </w:t>
      </w:r>
      <w:r>
        <w:rPr>
          <w:rFonts w:eastAsia="標楷體"/>
        </w:rPr>
        <w:t>（</w:t>
      </w:r>
      <w:r>
        <w:rPr>
          <w:rFonts w:eastAsia="標楷體"/>
          <w:bCs/>
        </w:rPr>
        <w:t>v</w:t>
      </w:r>
      <w:r>
        <w:rPr>
          <w:rFonts w:eastAsia="標楷體"/>
        </w:rPr>
        <w:t>）其他</w:t>
      </w:r>
      <w:r>
        <w:rPr>
          <w:rFonts w:eastAsia="標楷體"/>
        </w:rPr>
        <w:t>(</w:t>
      </w:r>
      <w:r>
        <w:rPr>
          <w:rFonts w:eastAsia="標楷體"/>
        </w:rPr>
        <w:t>報表</w:t>
      </w:r>
      <w:r>
        <w:rPr>
          <w:rFonts w:eastAsia="標楷體"/>
        </w:rPr>
        <w:t>)</w:t>
      </w:r>
    </w:p>
    <w:p w:rsidR="00255873" w:rsidRDefault="00814377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</w:rPr>
        <w:t>資料範圍、週期及時效</w:t>
      </w:r>
    </w:p>
    <w:p w:rsidR="00255873" w:rsidRDefault="00814377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統計地區範圍及對象：</w:t>
      </w:r>
      <w:r>
        <w:rPr>
          <w:rFonts w:ascii="標楷體" w:eastAsia="標楷體" w:hAnsi="標楷體"/>
          <w:szCs w:val="24"/>
        </w:rPr>
        <w:t>凡在本區境內養殖水產動植物之場所，不論其使用權合法與否，均為統計對象</w:t>
      </w:r>
      <w:r>
        <w:rPr>
          <w:rFonts w:eastAsia="標楷體"/>
          <w:szCs w:val="24"/>
        </w:rPr>
        <w:t>。</w:t>
      </w:r>
    </w:p>
    <w:p w:rsidR="00255873" w:rsidRDefault="00814377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統計標準時間：</w:t>
      </w:r>
      <w:r>
        <w:rPr>
          <w:rFonts w:ascii="標楷體" w:eastAsia="標楷體" w:hAnsi="標楷體"/>
          <w:szCs w:val="24"/>
        </w:rPr>
        <w:t>以每年</w:t>
      </w:r>
      <w:r>
        <w:rPr>
          <w:rFonts w:ascii="標楷體" w:eastAsia="標楷體" w:hAnsi="標楷體"/>
          <w:szCs w:val="24"/>
        </w:rPr>
        <w:t>12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日之事實為準</w:t>
      </w:r>
      <w:r>
        <w:rPr>
          <w:rFonts w:eastAsia="標楷體"/>
        </w:rPr>
        <w:t>。</w:t>
      </w:r>
    </w:p>
    <w:p w:rsidR="00255873" w:rsidRDefault="00814377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統計項目定義：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</w:pPr>
      <w:r>
        <w:rPr>
          <w:rFonts w:ascii="標楷體" w:eastAsia="標楷體" w:hAnsi="標楷體"/>
          <w:szCs w:val="24"/>
        </w:rPr>
        <w:t>海面養殖：在高潮線外從事水產動植物之養殖或蓄養作業者。</w:t>
      </w:r>
    </w:p>
    <w:p w:rsidR="00255873" w:rsidRDefault="00814377">
      <w:pPr>
        <w:numPr>
          <w:ilvl w:val="0"/>
          <w:numId w:val="3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淺海養殖：利用潮間帶及低潮線以外之淺海區域，養殖水產生物。</w:t>
      </w:r>
    </w:p>
    <w:p w:rsidR="00255873" w:rsidRDefault="00814377">
      <w:pPr>
        <w:numPr>
          <w:ilvl w:val="0"/>
          <w:numId w:val="3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其他養殖：不屬上類之海面養殖作業。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內陸養殖：在高潮線從事水產動植物之養育或蓄養作業者。</w:t>
      </w:r>
    </w:p>
    <w:p w:rsidR="00255873" w:rsidRDefault="00814377">
      <w:pPr>
        <w:numPr>
          <w:ilvl w:val="0"/>
          <w:numId w:val="4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鹹水魚塭：指在沿岸、內灣、海埔新生地等地區築堤引灌海水，利用各種鹽度鹹水養殖水產生物之作業。</w:t>
      </w:r>
      <w:r>
        <w:rPr>
          <w:rFonts w:ascii="標楷體" w:eastAsia="標楷體" w:hAnsi="標楷體"/>
          <w:szCs w:val="24"/>
        </w:rPr>
        <w:tab/>
      </w:r>
    </w:p>
    <w:p w:rsidR="00255873" w:rsidRDefault="00814377">
      <w:pPr>
        <w:numPr>
          <w:ilvl w:val="0"/>
          <w:numId w:val="4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淡水魚塭：指利用土地圍築堤岸，使其經常蓄積淡水達一定深度，專供養殖水產生物之作業。</w:t>
      </w:r>
    </w:p>
    <w:p w:rsidR="00255873" w:rsidRDefault="00814377">
      <w:pPr>
        <w:numPr>
          <w:ilvl w:val="0"/>
          <w:numId w:val="4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觀賞魚養殖：指利用固定水域生產供觀賞性之水生動植物之作業。</w:t>
      </w:r>
    </w:p>
    <w:p w:rsidR="00255873" w:rsidRDefault="00814377">
      <w:pPr>
        <w:numPr>
          <w:ilvl w:val="0"/>
          <w:numId w:val="4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其他魚塭：指不屬於上列各項之內陸養殖，如利用灌溉用之池、埤、湖、沼、水庫等養殖水產生物之作業。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箱網養殖：在淺海及內陸設置箱網以從事水產動植物之養殖或蓄養者。</w:t>
      </w:r>
    </w:p>
    <w:p w:rsidR="00255873" w:rsidRDefault="00814377">
      <w:pPr>
        <w:numPr>
          <w:ilvl w:val="0"/>
          <w:numId w:val="5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海面養殖：在淺海之干潮線至外海處，使用箱網養殖水產生物。</w:t>
      </w:r>
    </w:p>
    <w:p w:rsidR="00255873" w:rsidRDefault="00814377">
      <w:pPr>
        <w:numPr>
          <w:ilvl w:val="0"/>
          <w:numId w:val="5"/>
        </w:numPr>
        <w:spacing w:line="240" w:lineRule="atLeast"/>
        <w:ind w:left="136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內陸養殖：利用水庫或湖沼設置箱網養殖水產生物。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單養：指一個養殖池內，專養一種水產生物者。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混養：指一個養殖池內，同時養殖二種以上水產生物者。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休養：指已相當期間（一年內）未從事養殖，調查時仍未養殖且最近期間無復養可能之暫停養殖魚塭。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本表箱網養殖因方式特殊另歸一類，不包括在「海面養殖」、「內陸</w:t>
      </w:r>
    </w:p>
    <w:p w:rsidR="00255873" w:rsidRDefault="00814377">
      <w:pPr>
        <w:spacing w:line="0" w:lineRule="atLeast"/>
        <w:ind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養殖」中。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如因收獲魚類，暫時乾枯之池埤，其面積亦應計列。</w:t>
      </w:r>
    </w:p>
    <w:p w:rsidR="00255873" w:rsidRDefault="00814377">
      <w:pPr>
        <w:numPr>
          <w:ilvl w:val="0"/>
          <w:numId w:val="2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如有同一養殖場混養二種以上水產物時，其面積以養殖最多之水產</w:t>
      </w:r>
    </w:p>
    <w:p w:rsidR="00255873" w:rsidRDefault="00814377">
      <w:pPr>
        <w:spacing w:line="0" w:lineRule="atLeast"/>
        <w:ind w:firstLine="14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物為準計列。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統計單位：公頃、</w:t>
      </w:r>
      <w:r>
        <w:rPr>
          <w:rFonts w:eastAsia="標楷體"/>
        </w:rPr>
        <w:t>(</w:t>
      </w:r>
      <w:r>
        <w:rPr>
          <w:rFonts w:eastAsia="標楷體"/>
        </w:rPr>
        <w:t>箱網養殖</w:t>
      </w:r>
      <w:r>
        <w:rPr>
          <w:rFonts w:eastAsia="標楷體"/>
        </w:rPr>
        <w:t>)</w:t>
      </w:r>
      <w:r>
        <w:rPr>
          <w:rFonts w:eastAsia="標楷體"/>
        </w:rPr>
        <w:t>立方公尺。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統計分類：養殖面積按海面養殖（分淺海養殖</w:t>
      </w:r>
      <w:r>
        <w:rPr>
          <w:rFonts w:eastAsia="標楷體"/>
        </w:rPr>
        <w:t>及其他養殖）、內陸養殖</w:t>
      </w:r>
      <w:r>
        <w:rPr>
          <w:rFonts w:eastAsia="標楷體"/>
        </w:rPr>
        <w:t xml:space="preserve"> </w:t>
      </w:r>
      <w:r>
        <w:rPr>
          <w:rFonts w:eastAsia="標楷體"/>
        </w:rPr>
        <w:t>（分鹹水魚塭養殖、淡水魚塭養殖、觀賞魚養殖及其他魚塭養殖）及箱網養殖（分海面養殖及內陸養殖）</w:t>
      </w:r>
      <w:r>
        <w:rPr>
          <w:rFonts w:ascii="標楷體" w:eastAsia="標楷體" w:hAnsi="標楷體"/>
          <w:szCs w:val="24"/>
        </w:rPr>
        <w:t>。加以調查、統計；養殖方式按單養、混養及休養分。魚類別按魚類、蝦類、貝介類、水產生物類及藻類分。</w:t>
      </w:r>
    </w:p>
    <w:p w:rsidR="00255873" w:rsidRDefault="00814377">
      <w:pPr>
        <w:numPr>
          <w:ilvl w:val="0"/>
          <w:numId w:val="6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魚類：依吳郭魚類、鯉魚、鰻魚、淡水鯰、鱸魚、鱒魚、香魚、虱目魚、鯛類、鱠魚、烏魚、泥鰍、觀賞魚類、其他魚類分。</w:t>
      </w:r>
    </w:p>
    <w:p w:rsidR="00255873" w:rsidRDefault="00814377">
      <w:pPr>
        <w:numPr>
          <w:ilvl w:val="0"/>
          <w:numId w:val="6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蝦類：依草蝦、斑節蝦、沙蝦、長腳大蝦、紅尾蝦、龍蝦、白蝦、其他蝦類分。</w:t>
      </w:r>
    </w:p>
    <w:p w:rsidR="00255873" w:rsidRDefault="00814377">
      <w:pPr>
        <w:numPr>
          <w:ilvl w:val="0"/>
          <w:numId w:val="6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貝介類：依牡蠣、文蛤、蜊、血蚶、九孔、西施貝、蜆、其他貝介類分。</w:t>
      </w:r>
    </w:p>
    <w:p w:rsidR="00255873" w:rsidRDefault="00814377">
      <w:pPr>
        <w:numPr>
          <w:ilvl w:val="0"/>
          <w:numId w:val="6"/>
        </w:numPr>
        <w:spacing w:line="0" w:lineRule="atLeast"/>
        <w:ind w:left="128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水產生物類：依蟳蟹類、牛蛙、鱉、鱷魚、其他水產生</w:t>
      </w:r>
      <w:r>
        <w:rPr>
          <w:rFonts w:ascii="標楷體" w:eastAsia="標楷體" w:hAnsi="標楷體"/>
          <w:szCs w:val="24"/>
        </w:rPr>
        <w:t>物分。</w:t>
      </w:r>
    </w:p>
    <w:p w:rsidR="00255873" w:rsidRDefault="00814377">
      <w:pPr>
        <w:numPr>
          <w:ilvl w:val="0"/>
          <w:numId w:val="6"/>
        </w:numPr>
        <w:spacing w:line="0" w:lineRule="atLeast"/>
        <w:ind w:left="1287" w:hanging="567"/>
      </w:pPr>
      <w:r>
        <w:rPr>
          <w:rFonts w:ascii="標楷體" w:eastAsia="標楷體" w:hAnsi="標楷體"/>
          <w:szCs w:val="24"/>
        </w:rPr>
        <w:t>藻類：依紫菜、龍鬚菜、青海菜、其他藻類分。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發布週期：年。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時效：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資料變革：無。</w:t>
      </w:r>
    </w:p>
    <w:p w:rsidR="00255873" w:rsidRDefault="00814377">
      <w:pPr>
        <w:numPr>
          <w:ilvl w:val="0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公開資料發布訊息</w:t>
      </w:r>
    </w:p>
    <w:p w:rsidR="00255873" w:rsidRDefault="00814377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eastAsia="標楷體"/>
        </w:rPr>
      </w:pPr>
      <w:r>
        <w:rPr>
          <w:rFonts w:eastAsia="標楷體"/>
        </w:rPr>
        <w:t>預告發布日期：每年終了</w:t>
      </w:r>
      <w:r>
        <w:rPr>
          <w:rFonts w:eastAsia="標楷體"/>
        </w:rPr>
        <w:t>1</w:t>
      </w:r>
      <w:r>
        <w:rPr>
          <w:rFonts w:eastAsia="標楷體"/>
        </w:rPr>
        <w:t>個月。</w:t>
      </w:r>
      <w:r>
        <w:rPr>
          <w:rFonts w:eastAsia="標楷體"/>
        </w:rPr>
        <w:t>(</w:t>
      </w:r>
      <w:r>
        <w:rPr>
          <w:rFonts w:eastAsia="標楷體"/>
        </w:rPr>
        <w:t>原訂預告發布日期如遇例假日或國定假日則延至下一個工作日發布</w:t>
      </w:r>
      <w:r>
        <w:rPr>
          <w:rFonts w:eastAsia="標楷體"/>
        </w:rPr>
        <w:t>)</w:t>
      </w:r>
    </w:p>
    <w:p w:rsidR="00255873" w:rsidRDefault="00814377">
      <w:pPr>
        <w:numPr>
          <w:ilvl w:val="1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同步發送單位：臺中市政府主計處。</w:t>
      </w:r>
    </w:p>
    <w:p w:rsidR="00255873" w:rsidRDefault="00814377">
      <w:pPr>
        <w:numPr>
          <w:ilvl w:val="0"/>
          <w:numId w:val="1"/>
        </w:numPr>
        <w:spacing w:line="0" w:lineRule="atLeast"/>
        <w:rPr>
          <w:rFonts w:eastAsia="標楷體"/>
        </w:rPr>
      </w:pPr>
      <w:r>
        <w:rPr>
          <w:rFonts w:eastAsia="標楷體"/>
        </w:rPr>
        <w:t>資料品質</w:t>
      </w:r>
    </w:p>
    <w:p w:rsidR="00255873" w:rsidRDefault="00814377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統計指標編製方法與資料來源說明：</w:t>
      </w:r>
      <w:r>
        <w:rPr>
          <w:rFonts w:ascii="標楷體" w:eastAsia="標楷體" w:hAnsi="標楷體"/>
          <w:szCs w:val="24"/>
        </w:rPr>
        <w:t>本所農業課依據養殖漁業管理系統資料編製。</w:t>
      </w:r>
    </w:p>
    <w:p w:rsidR="00255873" w:rsidRDefault="00814377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統計資料交叉查核及確保資料合理性之機制：由電腦系統自動進行加總交叉查核。</w:t>
      </w:r>
    </w:p>
    <w:p w:rsidR="00255873" w:rsidRDefault="00814377">
      <w:pPr>
        <w:numPr>
          <w:ilvl w:val="0"/>
          <w:numId w:val="1"/>
        </w:numPr>
        <w:spacing w:line="0" w:lineRule="atLeast"/>
      </w:pPr>
      <w:r>
        <w:rPr>
          <w:rFonts w:eastAsia="標楷體"/>
        </w:rPr>
        <w:t>須注意及預定改變之事項：表號</w:t>
      </w:r>
      <w:r>
        <w:rPr>
          <w:rFonts w:eastAsia="標楷體"/>
        </w:rPr>
        <w:t>20341-04-01-3</w:t>
      </w:r>
      <w:r>
        <w:rPr>
          <w:rFonts w:eastAsia="標楷體"/>
        </w:rPr>
        <w:t>。</w:t>
      </w:r>
    </w:p>
    <w:p w:rsidR="00255873" w:rsidRDefault="00814377">
      <w:pPr>
        <w:numPr>
          <w:ilvl w:val="0"/>
          <w:numId w:val="1"/>
        </w:numPr>
        <w:spacing w:line="0" w:lineRule="atLeast"/>
      </w:pPr>
      <w:r>
        <w:rPr>
          <w:rFonts w:ascii="標楷體" w:eastAsia="標楷體" w:hAnsi="標楷體"/>
        </w:rPr>
        <w:t>其他事項：無。</w:t>
      </w:r>
    </w:p>
    <w:sectPr w:rsidR="00255873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14377">
      <w:r>
        <w:separator/>
      </w:r>
    </w:p>
  </w:endnote>
  <w:endnote w:type="continuationSeparator" w:id="0">
    <w:p w:rsidR="00000000" w:rsidRDefault="0081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14377">
      <w:r>
        <w:rPr>
          <w:color w:val="000000"/>
        </w:rPr>
        <w:separator/>
      </w:r>
    </w:p>
  </w:footnote>
  <w:footnote w:type="continuationSeparator" w:id="0">
    <w:p w:rsidR="00000000" w:rsidRDefault="00814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D3EB2"/>
    <w:multiLevelType w:val="multilevel"/>
    <w:tmpl w:val="C814591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D800C3"/>
    <w:multiLevelType w:val="multilevel"/>
    <w:tmpl w:val="DD3CDD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numFmt w:val="bullet"/>
      <w:lvlText w:val=""/>
      <w:lvlJc w:val="left"/>
      <w:pPr>
        <w:ind w:left="960" w:hanging="480"/>
      </w:pPr>
      <w:rPr>
        <w:rFonts w:ascii="Wingdings 2" w:hAnsi="Wingdings 2"/>
      </w:rPr>
    </w:lvl>
    <w:lvl w:ilvl="2">
      <w:start w:val="1"/>
      <w:numFmt w:val="taiwaneseCountingThousand"/>
      <w:lvlText w:val="（%3）"/>
      <w:lvlJc w:val="left"/>
      <w:pPr>
        <w:ind w:left="180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9175FD"/>
    <w:multiLevelType w:val="multilevel"/>
    <w:tmpl w:val="8DAC94E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171870"/>
    <w:multiLevelType w:val="multilevel"/>
    <w:tmpl w:val="8608837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C12EA6"/>
    <w:multiLevelType w:val="multilevel"/>
    <w:tmpl w:val="A8DA404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100286"/>
    <w:multiLevelType w:val="multilevel"/>
    <w:tmpl w:val="0CA691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80187352">
    <w:abstractNumId w:val="1"/>
  </w:num>
  <w:num w:numId="2" w16cid:durableId="366225444">
    <w:abstractNumId w:val="3"/>
  </w:num>
  <w:num w:numId="3" w16cid:durableId="930089154">
    <w:abstractNumId w:val="0"/>
  </w:num>
  <w:num w:numId="4" w16cid:durableId="90853970">
    <w:abstractNumId w:val="5"/>
  </w:num>
  <w:num w:numId="5" w16cid:durableId="126246410">
    <w:abstractNumId w:val="2"/>
  </w:num>
  <w:num w:numId="6" w16cid:durableId="1211574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5873"/>
    <w:rsid w:val="00255873"/>
    <w:rsid w:val="0081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CAAE99-7AC1-4509-A509-CC4DE2A3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rPr>
      <w:kern w:val="3"/>
    </w:rPr>
  </w:style>
  <w:style w:type="character" w:styleId="a8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tccg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dc:description/>
  <cp:lastModifiedBy>Jason</cp:lastModifiedBy>
  <cp:revision>2</cp:revision>
  <cp:lastPrinted>2024-02-20T06:57:00Z</cp:lastPrinted>
  <dcterms:created xsi:type="dcterms:W3CDTF">2024-12-13T07:11:00Z</dcterms:created>
  <dcterms:modified xsi:type="dcterms:W3CDTF">2024-12-13T07:11:00Z</dcterms:modified>
</cp:coreProperties>
</file>