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652A" w14:textId="77777777" w:rsidR="00292BEE" w:rsidRDefault="00D268BF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430DDF03" w14:textId="77777777" w:rsidR="00292BEE" w:rsidRDefault="00D268BF">
      <w:pPr>
        <w:rPr>
          <w:rFonts w:eastAsia="標楷體"/>
        </w:rPr>
      </w:pPr>
      <w:r>
        <w:rPr>
          <w:rFonts w:eastAsia="標楷體"/>
        </w:rPr>
        <w:t>資料種類：漁業統計</w:t>
      </w:r>
    </w:p>
    <w:p w14:paraId="06315F5E" w14:textId="77777777" w:rsidR="00292BEE" w:rsidRDefault="00D268BF">
      <w:pPr>
        <w:rPr>
          <w:rFonts w:eastAsia="標楷體"/>
        </w:rPr>
      </w:pPr>
      <w:r>
        <w:rPr>
          <w:rFonts w:eastAsia="標楷體"/>
        </w:rPr>
        <w:t>資料項目：臺中市龍井區魚貝苗生產量值</w:t>
      </w:r>
      <w:r>
        <w:rPr>
          <w:rFonts w:eastAsia="標楷體"/>
        </w:rPr>
        <w:t xml:space="preserve"> ─</w:t>
      </w:r>
      <w:r>
        <w:rPr>
          <w:rFonts w:eastAsia="標楷體"/>
        </w:rPr>
        <w:t>按季別分</w:t>
      </w:r>
    </w:p>
    <w:p w14:paraId="2F24547E" w14:textId="77777777" w:rsidR="00292BEE" w:rsidRDefault="00D268BF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發布及編製機關單位</w:t>
      </w:r>
    </w:p>
    <w:p w14:paraId="1FCA3A38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發布機關、單位：：臺中市龍井區公所會計室</w:t>
      </w:r>
    </w:p>
    <w:p w14:paraId="2C284505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編製單位：臺中市龍井區公所農業課</w:t>
      </w:r>
    </w:p>
    <w:p w14:paraId="1FECA005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聯絡電話：</w:t>
      </w:r>
      <w:r>
        <w:rPr>
          <w:rFonts w:eastAsia="標楷體"/>
        </w:rPr>
        <w:t>04-04-26352411#1142</w:t>
      </w:r>
    </w:p>
    <w:p w14:paraId="53C39311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傳真：</w:t>
      </w:r>
      <w:r>
        <w:rPr>
          <w:rFonts w:eastAsia="標楷體"/>
        </w:rPr>
        <w:t>04-26354222</w:t>
      </w:r>
    </w:p>
    <w:p w14:paraId="10EDD64F" w14:textId="77777777" w:rsidR="00292BEE" w:rsidRDefault="00D268BF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電子信箱：</w:t>
      </w:r>
      <w:r>
        <w:rPr>
          <w:rFonts w:ascii="標楷體" w:eastAsia="標楷體" w:hAnsi="標楷體"/>
          <w:szCs w:val="24"/>
          <w:shd w:val="clear" w:color="auto" w:fill="FFFFFF"/>
        </w:rPr>
        <w:t>r208@taichung.gov.tw</w:t>
      </w:r>
    </w:p>
    <w:p w14:paraId="0F435418" w14:textId="77777777" w:rsidR="00292BEE" w:rsidRDefault="00D268BF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發布形式</w:t>
      </w:r>
    </w:p>
    <w:p w14:paraId="24FDC375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口頭：</w:t>
      </w:r>
    </w:p>
    <w:p w14:paraId="364035D2" w14:textId="77777777" w:rsidR="00292BEE" w:rsidRDefault="00D268BF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（）記者會或說明會</w:t>
      </w:r>
    </w:p>
    <w:p w14:paraId="585D9CB8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書面：</w:t>
      </w:r>
    </w:p>
    <w:p w14:paraId="1A521A1C" w14:textId="77777777" w:rsidR="00292BEE" w:rsidRDefault="00D268BF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（）新聞稿</w:t>
      </w:r>
      <w:r>
        <w:rPr>
          <w:rFonts w:eastAsia="標楷體"/>
        </w:rPr>
        <w:t xml:space="preserve"> </w:t>
      </w:r>
      <w:r>
        <w:rPr>
          <w:rFonts w:eastAsia="標楷體"/>
        </w:rPr>
        <w:t>（）報表</w:t>
      </w:r>
      <w:r>
        <w:rPr>
          <w:rFonts w:eastAsia="標楷體"/>
        </w:rPr>
        <w:t xml:space="preserve"> </w:t>
      </w:r>
      <w:r>
        <w:rPr>
          <w:rFonts w:eastAsia="標楷體"/>
        </w:rPr>
        <w:t>（）書刊，刊名：</w:t>
      </w:r>
      <w:r>
        <w:rPr>
          <w:rFonts w:eastAsia="標楷體"/>
        </w:rPr>
        <w:t xml:space="preserve"> </w:t>
      </w:r>
    </w:p>
    <w:p w14:paraId="5AC060CA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電子媒體：</w:t>
      </w:r>
    </w:p>
    <w:p w14:paraId="214DFD33" w14:textId="77777777" w:rsidR="00292BEE" w:rsidRDefault="00D268BF">
      <w:pPr>
        <w:spacing w:line="0" w:lineRule="atLeast"/>
        <w:ind w:firstLine="960"/>
        <w:rPr>
          <w:rFonts w:eastAsia="標楷體"/>
          <w:bCs/>
        </w:rPr>
      </w:pPr>
      <w:r>
        <w:rPr>
          <w:rFonts w:eastAsia="標楷體"/>
          <w:bCs/>
        </w:rPr>
        <w:t>（）線上書刊及資料庫，網址：</w:t>
      </w:r>
    </w:p>
    <w:p w14:paraId="47F762DF" w14:textId="77777777" w:rsidR="00292BEE" w:rsidRDefault="00D268BF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（）磁片</w:t>
      </w:r>
      <w:r>
        <w:rPr>
          <w:rFonts w:eastAsia="標楷體"/>
        </w:rPr>
        <w:t xml:space="preserve">    </w:t>
      </w:r>
      <w:r>
        <w:rPr>
          <w:rFonts w:eastAsia="標楷體"/>
        </w:rPr>
        <w:t>（）光碟片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eastAsia="標楷體"/>
        </w:rPr>
        <w:t>V</w:t>
      </w:r>
      <w:r>
        <w:rPr>
          <w:rFonts w:eastAsia="標楷體"/>
        </w:rPr>
        <w:t>）其他</w:t>
      </w:r>
      <w:r>
        <w:rPr>
          <w:rFonts w:eastAsia="標楷體"/>
        </w:rPr>
        <w:t>(</w:t>
      </w:r>
      <w:r>
        <w:rPr>
          <w:rFonts w:eastAsia="標楷體"/>
        </w:rPr>
        <w:t>報表</w:t>
      </w:r>
      <w:r>
        <w:rPr>
          <w:rFonts w:eastAsia="標楷體"/>
        </w:rPr>
        <w:t>)</w:t>
      </w:r>
    </w:p>
    <w:p w14:paraId="7898DA94" w14:textId="77777777" w:rsidR="00292BEE" w:rsidRDefault="00D268BF">
      <w:pPr>
        <w:numPr>
          <w:ilvl w:val="0"/>
          <w:numId w:val="1"/>
        </w:numPr>
        <w:rPr>
          <w:rFonts w:eastAsia="標楷體"/>
          <w:szCs w:val="24"/>
        </w:rPr>
      </w:pPr>
      <w:r>
        <w:rPr>
          <w:rFonts w:eastAsia="標楷體"/>
          <w:szCs w:val="24"/>
        </w:rPr>
        <w:t>資料範圍、週期及時效</w:t>
      </w:r>
    </w:p>
    <w:p w14:paraId="1B064A3E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2863" w:hanging="2381"/>
      </w:pPr>
      <w:r>
        <w:rPr>
          <w:rFonts w:eastAsia="標楷體"/>
        </w:rPr>
        <w:t>統計地區範圍及對象</w:t>
      </w:r>
      <w:r>
        <w:rPr>
          <w:rFonts w:eastAsia="標楷體"/>
          <w:szCs w:val="24"/>
        </w:rPr>
        <w:t>：凡本區境內各公私營魚貝苗繁殖場所及沿海採捕魚貝苗業者、魚貝苗商等均為統計對象。</w:t>
      </w:r>
    </w:p>
    <w:p w14:paraId="5B5AE458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統計標準時間：以每年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日至</w:t>
      </w:r>
      <w:r>
        <w:rPr>
          <w:rFonts w:eastAsia="標楷體"/>
          <w:szCs w:val="24"/>
        </w:rPr>
        <w:t>12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日之事實為準。</w:t>
      </w:r>
    </w:p>
    <w:p w14:paraId="48F6EA2C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統計項目定義：</w:t>
      </w:r>
    </w:p>
    <w:p w14:paraId="43826A88" w14:textId="77777777" w:rsidR="00292BEE" w:rsidRDefault="00D268BF">
      <w:pPr>
        <w:spacing w:line="0" w:lineRule="atLeast"/>
        <w:ind w:left="960"/>
      </w:pPr>
      <w:r>
        <w:rPr>
          <w:rFonts w:ascii="標楷體" w:eastAsia="標楷體" w:hAnsi="標楷體"/>
          <w:szCs w:val="24"/>
        </w:rPr>
        <w:t>魚貝苗生產量：指在本區境內人工繁殖及沿海各地採捕之魚貝苗數量。</w:t>
      </w:r>
    </w:p>
    <w:p w14:paraId="7D3DC75B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  <w:szCs w:val="24"/>
        </w:rPr>
      </w:pPr>
      <w:r>
        <w:rPr>
          <w:rFonts w:eastAsia="標楷體"/>
          <w:szCs w:val="24"/>
        </w:rPr>
        <w:t>統計單位：</w:t>
      </w:r>
    </w:p>
    <w:p w14:paraId="4615FA19" w14:textId="77777777" w:rsidR="00292BEE" w:rsidRDefault="00D268BF">
      <w:pPr>
        <w:numPr>
          <w:ilvl w:val="2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產量－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魚蝦苗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千尾；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鱉蟳蟹苗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千隻，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貝介苗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千粒。</w:t>
      </w:r>
    </w:p>
    <w:p w14:paraId="54287DA7" w14:textId="77777777" w:rsidR="00292BEE" w:rsidRDefault="00D268BF">
      <w:pPr>
        <w:numPr>
          <w:ilvl w:val="2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價值－新臺幣千元。</w:t>
      </w:r>
    </w:p>
    <w:p w14:paraId="30695113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2183" w:hanging="1701"/>
      </w:pPr>
      <w:r>
        <w:rPr>
          <w:rFonts w:eastAsia="標楷體"/>
          <w:szCs w:val="24"/>
        </w:rPr>
        <w:t>統計分類：</w:t>
      </w:r>
      <w:r>
        <w:rPr>
          <w:rFonts w:ascii="標楷體" w:eastAsia="標楷體" w:hAnsi="標楷體"/>
          <w:szCs w:val="24"/>
        </w:rPr>
        <w:t>以本區</w:t>
      </w:r>
      <w:r>
        <w:rPr>
          <w:rFonts w:ascii="標楷體" w:eastAsia="標楷體" w:hAnsi="標楷體"/>
          <w:szCs w:val="24"/>
        </w:rPr>
        <w:t>境內所產魚貝苗為準，分為魚苗（包括石斑魚苗、虱目魚苗、鯔苗、鱸魚苗、鰻魚苗、吳郭魚苗、麥奇鈎吻鱒苗、香魚苗、鯉魚苗、鯽魚苗、草魚苗、白鰱苗、鯁魚苗、鱧魚苗、其他鯛苗、淡水鯰苗、泥鰍苗、臭都魚苗、花身鯻苗、銀紋笛鯛苗、鱗鯔魚苗、其他魚苗）、蝦苗（日本對蝦苗、草蝦苗、刀額新對蝦苗、多毛對蝦苗、其他蝦苗、白蝦苗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、鱉蟳蟹苗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包括蟳蟹苗及鱉苗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、貝介苗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包括文蛤苗、蜊苗、蜆苗、其他貝介苗、九孔苗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等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大類。</w:t>
      </w:r>
    </w:p>
    <w:p w14:paraId="535824D6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  <w:szCs w:val="24"/>
        </w:rPr>
      </w:pPr>
      <w:r>
        <w:rPr>
          <w:rFonts w:eastAsia="標楷體"/>
          <w:szCs w:val="24"/>
        </w:rPr>
        <w:t>發布週期：年。</w:t>
      </w:r>
    </w:p>
    <w:p w14:paraId="778A04E6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  <w:szCs w:val="24"/>
        </w:rPr>
      </w:pPr>
      <w:r>
        <w:rPr>
          <w:rFonts w:eastAsia="標楷體"/>
          <w:szCs w:val="24"/>
        </w:rPr>
        <w:t>時效：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個月。</w:t>
      </w:r>
    </w:p>
    <w:p w14:paraId="04EADF9F" w14:textId="77777777" w:rsidR="00292BEE" w:rsidRDefault="00D268BF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  <w:szCs w:val="24"/>
        </w:rPr>
      </w:pPr>
      <w:r>
        <w:rPr>
          <w:rFonts w:eastAsia="標楷體"/>
          <w:szCs w:val="24"/>
        </w:rPr>
        <w:t>資料變革：無。</w:t>
      </w:r>
    </w:p>
    <w:p w14:paraId="4191982D" w14:textId="77777777" w:rsidR="00292BEE" w:rsidRDefault="00D268BF">
      <w:pPr>
        <w:numPr>
          <w:ilvl w:val="0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公開資料發布訊息</w:t>
      </w:r>
    </w:p>
    <w:p w14:paraId="0987BFC8" w14:textId="77777777" w:rsidR="00292BEE" w:rsidRDefault="00D268BF">
      <w:pPr>
        <w:numPr>
          <w:ilvl w:val="1"/>
          <w:numId w:val="1"/>
        </w:numPr>
        <w:tabs>
          <w:tab w:val="left" w:pos="960"/>
        </w:tabs>
        <w:ind w:left="2618" w:hanging="2138"/>
      </w:pPr>
      <w:r>
        <w:rPr>
          <w:rFonts w:eastAsia="標楷體"/>
          <w:szCs w:val="24"/>
        </w:rPr>
        <w:t>預告發布日期：每年終了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個月。</w:t>
      </w:r>
      <w:r>
        <w:rPr>
          <w:rFonts w:eastAsia="標楷體"/>
        </w:rPr>
        <w:t>(</w:t>
      </w:r>
      <w:r>
        <w:rPr>
          <w:rFonts w:eastAsia="標楷體"/>
        </w:rPr>
        <w:t>原訂預告發布日期如遇例假日或國定假日則延至下一個工作日發布</w:t>
      </w:r>
      <w:r>
        <w:rPr>
          <w:rFonts w:eastAsia="標楷體"/>
        </w:rPr>
        <w:t>)</w:t>
      </w:r>
    </w:p>
    <w:p w14:paraId="37D50F6F" w14:textId="77777777" w:rsidR="00292BEE" w:rsidRDefault="00D268BF">
      <w:pPr>
        <w:numPr>
          <w:ilvl w:val="1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同步發送單位：臺中市政府主計處。</w:t>
      </w:r>
    </w:p>
    <w:p w14:paraId="03BDDC83" w14:textId="77777777" w:rsidR="00292BEE" w:rsidRDefault="00D268BF">
      <w:pPr>
        <w:numPr>
          <w:ilvl w:val="0"/>
          <w:numId w:val="1"/>
        </w:numPr>
        <w:spacing w:line="0" w:lineRule="atLeast"/>
        <w:rPr>
          <w:rFonts w:eastAsia="標楷體"/>
          <w:szCs w:val="24"/>
        </w:rPr>
      </w:pPr>
      <w:r>
        <w:rPr>
          <w:rFonts w:eastAsia="標楷體"/>
          <w:szCs w:val="24"/>
        </w:rPr>
        <w:t>資料品質</w:t>
      </w:r>
    </w:p>
    <w:p w14:paraId="25C13022" w14:textId="77777777" w:rsidR="00292BEE" w:rsidRDefault="00D268BF">
      <w:pPr>
        <w:numPr>
          <w:ilvl w:val="1"/>
          <w:numId w:val="1"/>
        </w:numPr>
        <w:spacing w:line="0" w:lineRule="atLeast"/>
      </w:pPr>
      <w:r>
        <w:rPr>
          <w:rFonts w:eastAsia="標楷體"/>
          <w:szCs w:val="24"/>
        </w:rPr>
        <w:t>統計指標編製方法與資料來源說明：</w:t>
      </w:r>
      <w:r>
        <w:rPr>
          <w:rFonts w:ascii="標楷體" w:eastAsia="標楷體" w:hAnsi="標楷體"/>
          <w:szCs w:val="24"/>
        </w:rPr>
        <w:t>本所農業課依據養殖漁業管理系統資料編製。</w:t>
      </w:r>
    </w:p>
    <w:p w14:paraId="7F605812" w14:textId="77777777" w:rsidR="00292BEE" w:rsidRDefault="00D268BF">
      <w:pPr>
        <w:numPr>
          <w:ilvl w:val="1"/>
          <w:numId w:val="1"/>
        </w:numPr>
        <w:spacing w:line="0" w:lineRule="atLeast"/>
      </w:pPr>
      <w:r>
        <w:rPr>
          <w:rFonts w:eastAsia="標楷體"/>
          <w:szCs w:val="24"/>
        </w:rPr>
        <w:t>統計資料交叉查核及確保資料合理性之機制：</w:t>
      </w:r>
      <w:bookmarkStart w:id="0" w:name="_Hlk155298359"/>
      <w:r>
        <w:rPr>
          <w:rFonts w:ascii="標楷體" w:eastAsia="標楷體" w:hAnsi="標楷體"/>
          <w:szCs w:val="24"/>
        </w:rPr>
        <w:t>由電腦系統自動進行加總交</w:t>
      </w:r>
      <w:r>
        <w:rPr>
          <w:rFonts w:ascii="標楷體" w:eastAsia="標楷體" w:hAnsi="標楷體"/>
          <w:szCs w:val="24"/>
        </w:rPr>
        <w:lastRenderedPageBreak/>
        <w:t>叉查核</w:t>
      </w:r>
      <w:bookmarkEnd w:id="0"/>
      <w:r>
        <w:rPr>
          <w:rFonts w:ascii="標楷體" w:eastAsia="標楷體" w:hAnsi="標楷體"/>
          <w:szCs w:val="24"/>
        </w:rPr>
        <w:t>。</w:t>
      </w:r>
    </w:p>
    <w:p w14:paraId="2E1FB4EF" w14:textId="77777777" w:rsidR="00292BEE" w:rsidRDefault="00D268BF">
      <w:pPr>
        <w:numPr>
          <w:ilvl w:val="0"/>
          <w:numId w:val="1"/>
        </w:numPr>
        <w:spacing w:line="0" w:lineRule="atLeast"/>
      </w:pPr>
      <w:r>
        <w:rPr>
          <w:rFonts w:eastAsia="標楷體"/>
          <w:szCs w:val="24"/>
        </w:rPr>
        <w:t>須注意及預定改變之事項：表號</w:t>
      </w:r>
      <w:r>
        <w:rPr>
          <w:rFonts w:eastAsia="標楷體"/>
          <w:szCs w:val="24"/>
        </w:rPr>
        <w:t>20341-03-02-3</w:t>
      </w:r>
      <w:r>
        <w:rPr>
          <w:rFonts w:eastAsia="標楷體"/>
          <w:szCs w:val="24"/>
        </w:rPr>
        <w:t>。</w:t>
      </w:r>
    </w:p>
    <w:p w14:paraId="116CFB2F" w14:textId="77777777" w:rsidR="00292BEE" w:rsidRDefault="00D268BF">
      <w:pPr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  <w:szCs w:val="24"/>
        </w:rPr>
        <w:t>其他事項：無。</w:t>
      </w:r>
    </w:p>
    <w:sectPr w:rsidR="00292BEE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6CB7" w14:textId="77777777" w:rsidR="00000000" w:rsidRDefault="00D268BF">
      <w:r>
        <w:separator/>
      </w:r>
    </w:p>
  </w:endnote>
  <w:endnote w:type="continuationSeparator" w:id="0">
    <w:p w14:paraId="427D3758" w14:textId="77777777" w:rsidR="00000000" w:rsidRDefault="00D2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030F" w14:textId="77777777" w:rsidR="00000000" w:rsidRDefault="00D268BF">
      <w:r>
        <w:rPr>
          <w:color w:val="000000"/>
        </w:rPr>
        <w:separator/>
      </w:r>
    </w:p>
  </w:footnote>
  <w:footnote w:type="continuationSeparator" w:id="0">
    <w:p w14:paraId="155FE034" w14:textId="77777777" w:rsidR="00000000" w:rsidRDefault="00D2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779"/>
    <w:multiLevelType w:val="multilevel"/>
    <w:tmpl w:val="CA80152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7784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2BEE"/>
    <w:rsid w:val="00292BEE"/>
    <w:rsid w:val="00D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596E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>tccg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Jason</cp:lastModifiedBy>
  <cp:revision>2</cp:revision>
  <cp:lastPrinted>2024-02-20T06:58:00Z</cp:lastPrinted>
  <dcterms:created xsi:type="dcterms:W3CDTF">2024-12-13T07:11:00Z</dcterms:created>
  <dcterms:modified xsi:type="dcterms:W3CDTF">2024-12-13T07:11:00Z</dcterms:modified>
</cp:coreProperties>
</file>