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7D4" w:rsidRDefault="00E62D6E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統計資料背景說明</w:t>
      </w:r>
    </w:p>
    <w:p w:rsidR="00BF37D4" w:rsidRDefault="00E62D6E">
      <w:pPr>
        <w:rPr>
          <w:rFonts w:eastAsia="標楷體"/>
        </w:rPr>
      </w:pPr>
      <w:r>
        <w:rPr>
          <w:rFonts w:eastAsia="標楷體"/>
        </w:rPr>
        <w:t>資料種類：漁業統計</w:t>
      </w:r>
    </w:p>
    <w:p w:rsidR="00BF37D4" w:rsidRDefault="00E62D6E">
      <w:pPr>
        <w:ind w:left="1274" w:hanging="1274"/>
        <w:rPr>
          <w:rFonts w:eastAsia="標楷體"/>
        </w:rPr>
      </w:pPr>
      <w:r>
        <w:rPr>
          <w:rFonts w:eastAsia="標楷體"/>
        </w:rPr>
        <w:t>資料項目：臺中市龍井區近海、沿岸漁業、海面養殖、內陸漁撈、內陸養殖漁業生產量</w:t>
      </w:r>
    </w:p>
    <w:p w:rsidR="00BF37D4" w:rsidRDefault="00E62D6E">
      <w:pPr>
        <w:numPr>
          <w:ilvl w:val="0"/>
          <w:numId w:val="1"/>
        </w:numPr>
        <w:tabs>
          <w:tab w:val="left" w:pos="720"/>
        </w:tabs>
        <w:ind w:left="680" w:hanging="680"/>
        <w:rPr>
          <w:rFonts w:eastAsia="標楷體"/>
        </w:rPr>
      </w:pPr>
      <w:r>
        <w:rPr>
          <w:rFonts w:eastAsia="標楷體"/>
        </w:rPr>
        <w:t>發布及編製機關單位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bookmarkStart w:id="0" w:name="_Hlk159332568"/>
      <w:r>
        <w:rPr>
          <w:rFonts w:eastAsia="標楷體"/>
        </w:rPr>
        <w:t>發布機關、單位：</w:t>
      </w:r>
      <w:bookmarkEnd w:id="0"/>
      <w:r>
        <w:rPr>
          <w:rFonts w:eastAsia="標楷體"/>
        </w:rPr>
        <w:t>臺中市龍井區公所會計室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編製單位：臺中市龍井區公所農業課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聯絡電話：</w:t>
      </w:r>
      <w:r>
        <w:rPr>
          <w:rFonts w:eastAsia="標楷體"/>
        </w:rPr>
        <w:t>04-26352411#1142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傳真：</w:t>
      </w:r>
      <w:r>
        <w:rPr>
          <w:rFonts w:eastAsia="標楷體"/>
        </w:rPr>
        <w:t>04-26354222</w:t>
      </w:r>
    </w:p>
    <w:p w:rsidR="00BF37D4" w:rsidRDefault="00E62D6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電子信箱：</w:t>
      </w:r>
      <w:r>
        <w:rPr>
          <w:rFonts w:ascii="標楷體" w:eastAsia="標楷體" w:hAnsi="標楷體"/>
          <w:szCs w:val="24"/>
          <w:shd w:val="clear" w:color="auto" w:fill="FFFFFF"/>
        </w:rPr>
        <w:tab/>
        <w:t>r208@taichung.gov.tw</w:t>
      </w:r>
    </w:p>
    <w:p w:rsidR="00BF37D4" w:rsidRDefault="00E62D6E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發布形式</w:t>
      </w:r>
    </w:p>
    <w:p w:rsidR="00BF37D4" w:rsidRDefault="00E62D6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口頭：</w:t>
      </w:r>
    </w:p>
    <w:p w:rsidR="00BF37D4" w:rsidRDefault="00E62D6E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（）記者會或說明會</w:t>
      </w:r>
    </w:p>
    <w:p w:rsidR="00BF37D4" w:rsidRDefault="00E62D6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書面：</w:t>
      </w:r>
    </w:p>
    <w:p w:rsidR="00BF37D4" w:rsidRDefault="00E62D6E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（）新聞稿</w:t>
      </w:r>
      <w:r>
        <w:rPr>
          <w:rFonts w:eastAsia="標楷體"/>
        </w:rPr>
        <w:t xml:space="preserve"> </w:t>
      </w:r>
      <w:r>
        <w:rPr>
          <w:rFonts w:eastAsia="標楷體"/>
        </w:rPr>
        <w:t>（）報表</w:t>
      </w:r>
      <w:r>
        <w:rPr>
          <w:rFonts w:eastAsia="標楷體"/>
        </w:rPr>
        <w:t xml:space="preserve"> </w:t>
      </w:r>
      <w:r>
        <w:rPr>
          <w:rFonts w:eastAsia="標楷體"/>
        </w:rPr>
        <w:t>（）書刊，刊名：</w:t>
      </w:r>
      <w:r>
        <w:rPr>
          <w:rFonts w:eastAsia="標楷體"/>
        </w:rPr>
        <w:t xml:space="preserve"> </w:t>
      </w:r>
    </w:p>
    <w:p w:rsidR="00BF37D4" w:rsidRDefault="00E62D6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電子媒體：</w:t>
      </w:r>
    </w:p>
    <w:p w:rsidR="00BF37D4" w:rsidRDefault="00E62D6E">
      <w:pPr>
        <w:spacing w:line="0" w:lineRule="atLeast"/>
        <w:ind w:firstLine="960"/>
        <w:rPr>
          <w:rFonts w:eastAsia="標楷體"/>
          <w:bCs/>
        </w:rPr>
      </w:pPr>
      <w:r>
        <w:rPr>
          <w:rFonts w:eastAsia="標楷體"/>
          <w:bCs/>
        </w:rPr>
        <w:t>（）線上書刊及資料庫，網址：</w:t>
      </w:r>
    </w:p>
    <w:p w:rsidR="00BF37D4" w:rsidRDefault="00E62D6E">
      <w:pPr>
        <w:spacing w:line="0" w:lineRule="atLeast"/>
        <w:ind w:firstLine="960"/>
      </w:pPr>
      <w:r>
        <w:rPr>
          <w:rFonts w:eastAsia="標楷體"/>
        </w:rPr>
        <w:t>（）磁片</w:t>
      </w:r>
      <w:r>
        <w:rPr>
          <w:rFonts w:eastAsia="標楷體"/>
        </w:rPr>
        <w:t xml:space="preserve">    </w:t>
      </w:r>
      <w:r>
        <w:rPr>
          <w:rFonts w:eastAsia="標楷體"/>
        </w:rPr>
        <w:t>（）光碟片</w:t>
      </w:r>
      <w:r>
        <w:rPr>
          <w:rFonts w:eastAsia="標楷體"/>
        </w:rPr>
        <w:t xml:space="preserve">  </w:t>
      </w:r>
      <w:r>
        <w:rPr>
          <w:rFonts w:eastAsia="標楷體"/>
        </w:rPr>
        <w:t>（</w:t>
      </w:r>
      <w:r>
        <w:rPr>
          <w:rFonts w:eastAsia="標楷體"/>
          <w:bCs/>
        </w:rPr>
        <w:t>v</w:t>
      </w:r>
      <w:r>
        <w:rPr>
          <w:rFonts w:eastAsia="標楷體"/>
        </w:rPr>
        <w:t>）其他</w:t>
      </w:r>
      <w:r>
        <w:rPr>
          <w:rFonts w:eastAsia="標楷體"/>
        </w:rPr>
        <w:t>(</w:t>
      </w:r>
      <w:r>
        <w:rPr>
          <w:rFonts w:eastAsia="標楷體"/>
        </w:rPr>
        <w:t>報表</w:t>
      </w:r>
      <w:r>
        <w:rPr>
          <w:rFonts w:eastAsia="標楷體"/>
        </w:rPr>
        <w:t>)</w:t>
      </w:r>
    </w:p>
    <w:p w:rsidR="00BF37D4" w:rsidRDefault="00E62D6E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資料範圍、週期及時效</w:t>
      </w:r>
    </w:p>
    <w:p w:rsidR="00BF37D4" w:rsidRDefault="00E62D6E">
      <w:pPr>
        <w:numPr>
          <w:ilvl w:val="1"/>
          <w:numId w:val="1"/>
        </w:numPr>
        <w:spacing w:line="0" w:lineRule="atLeast"/>
        <w:rPr>
          <w:rFonts w:eastAsia="標楷體"/>
        </w:rPr>
      </w:pPr>
      <w:bookmarkStart w:id="1" w:name="_Hlk159332601"/>
      <w:r>
        <w:rPr>
          <w:rFonts w:eastAsia="標楷體"/>
        </w:rPr>
        <w:t>統計地區範圍及對象</w:t>
      </w:r>
      <w:bookmarkEnd w:id="1"/>
      <w:r>
        <w:rPr>
          <w:rFonts w:eastAsia="標楷體"/>
        </w:rPr>
        <w:t>：在本區境內所生產，或漁船以本區港口為根據地，所捕獲之魚、貝類及本國籍漁船以外國港口為根據地，所生產之魚、貝類均為統計對象。</w:t>
      </w:r>
    </w:p>
    <w:p w:rsidR="00BF37D4" w:rsidRDefault="00E62D6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統計標準時間：</w:t>
      </w:r>
      <w:r>
        <w:rPr>
          <w:rFonts w:ascii="標楷體" w:eastAsia="標楷體" w:hAnsi="標楷體"/>
          <w:szCs w:val="24"/>
        </w:rPr>
        <w:t>以每年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日之事實為準</w:t>
      </w:r>
      <w:r>
        <w:rPr>
          <w:rFonts w:eastAsia="標楷體"/>
        </w:rPr>
        <w:t>。</w:t>
      </w:r>
    </w:p>
    <w:p w:rsidR="00BF37D4" w:rsidRDefault="00E62D6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統計項目定義：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近海漁業：指使用動力漁船在我國經濟海域（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浬～</w:t>
      </w:r>
      <w:r>
        <w:rPr>
          <w:rFonts w:ascii="標楷體" w:eastAsia="標楷體" w:hAnsi="標楷體"/>
          <w:szCs w:val="24"/>
        </w:rPr>
        <w:t>200</w:t>
      </w:r>
      <w:r>
        <w:rPr>
          <w:rFonts w:ascii="標楷體" w:eastAsia="標楷體" w:hAnsi="標楷體"/>
          <w:szCs w:val="24"/>
        </w:rPr>
        <w:t>浬）內從</w:t>
      </w:r>
    </w:p>
    <w:p w:rsidR="00BF37D4" w:rsidRDefault="00E62D6E">
      <w:pPr>
        <w:spacing w:line="0" w:lineRule="atLeast"/>
        <w:ind w:left="451"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事漁撈作業者。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巾著網漁業：指使用動力漁船二艘（臺灣地區均為二艘式）以上在近海合力使用長方形漁網包圍魚群之作業。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鯖鰺圍網漁業：指使用動力漁船船團（主船、燈船及運搬船組成）在近海合力使用漁網包圍魚群之作業。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棒受網漁業：指使用漁船將其箕狀網具用竹竿等敷設於船艉，用燈光或餌料將魚群誘入網內而捕獲之作業。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中小拖網：指使用動力漁船一艘或二艘按照單船拖網或雙船拖網漁法作業者。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刺網漁業（包括流刺網）：指使用動力漁船，將網橫遮水流，以待魚群刺上漁網而捕獲之作業。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扒網漁業：指使用動力漁船一艘，配合小艇或燈船，合力使用有囊類為圍網包</w:t>
      </w:r>
      <w:r>
        <w:rPr>
          <w:rFonts w:ascii="標楷體" w:eastAsia="標楷體" w:hAnsi="標楷體"/>
          <w:szCs w:val="24"/>
        </w:rPr>
        <w:t>圍魚群之作業。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其他網漁業：指使用動力漁船從事近海不屬上列之網具作業。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鮪延繩釣漁業：使用動力漁船，主要為釣捕近海鮪魚之延繩釣漁業。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雜魚延繩釣漁業：指用漁船以一主幹繩結附數條浮標繩、支繩及釣鉤進行雜魚類（鯛、白帶、石斑、鯖鰺、紅目鰱、石狗公等）之釣捕作業。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曳繩釣漁業：使用動力漁船一艘，於船尾拖曳釣繩，繩之末端結</w:t>
      </w:r>
      <w:r>
        <w:rPr>
          <w:rFonts w:ascii="標楷體" w:eastAsia="標楷體" w:hAnsi="標楷體"/>
          <w:szCs w:val="24"/>
        </w:rPr>
        <w:lastRenderedPageBreak/>
        <w:t>釣鉤，曳行海中釣捕魚類之作業。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一支釣漁業：使用漁船一艘，釣線一根或數根，並結釣鉤於線上，從事釣捕水產生物之作業。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其他釣漁業：指在近海使用不屬上列之釣具作業。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籠具漁業：係指利用籠、筒、籃、壺等器具，於內設置餌料、樹枝或稻草等，誘捕水產生物入籠之漁業。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珊瑚漁業：使用動力漁船，以網地投入海中，纏捕珊瑚而採獲之作業。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飛魚卵漁業：係指漁船經核准捕撈飛魚卵為對象之漁業。</w:t>
      </w:r>
    </w:p>
    <w:p w:rsidR="00BF37D4" w:rsidRDefault="00E62D6E">
      <w:pPr>
        <w:numPr>
          <w:ilvl w:val="0"/>
          <w:numId w:val="3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其他：指不屬以上各項之近海漁撈作業。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沿岸漁業：指使用或不使用船筏在我國領海（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海浬）內從事漁業者。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定置漁具漁業：指於特定水域利用築磯、設柵或設置漁具等方法，以採捕水產動物之作業。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地曳網漁業（包括小型曳網）：使用舢舨或漁筏一艘以上，自海岸向海面作半圓</w:t>
      </w:r>
      <w:r>
        <w:rPr>
          <w:rFonts w:ascii="標楷體" w:eastAsia="標楷體" w:hAnsi="標楷體"/>
          <w:szCs w:val="24"/>
        </w:rPr>
        <w:t>形或半橢圓形之投網，再將漁網牽引至陸上之作業。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焚寄網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火誘網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漁業：指使用多艘船筏，作為燈船或網船，在夜間利用燈光誘集魚群後捕撈之作業。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刺網漁業：使用舢舨或漁筏，操作與近海漁業中之刺網相同。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追逐網：指使用兩艘或以上漁船，由漁夫入水或用工具驅逐魚群進入網內而捕獲之作業。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流袋網：網具似拖網，兩袖端與浮子綱各結附一大型浮具，使網具漂浮水面而向下展開，以過濾順潮流入網魚群之作業。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櫻花蝦漁業：係指漁船經核准捕撈櫻花蝦為對象之漁業。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魩鱙漁業：係指漁船經核准捕撈魩鱙為對象之漁業。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赤尾青蝦漁業：係指使用漁船從</w:t>
      </w:r>
      <w:r>
        <w:rPr>
          <w:rFonts w:ascii="標楷體" w:eastAsia="標楷體" w:hAnsi="標楷體"/>
          <w:szCs w:val="24"/>
        </w:rPr>
        <w:t>事以捕撈赤尾青蝦為對象之作業。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其他網漁業：使用舢舨、漁筏或不使用船筏從事不屬上列各項之網具作業。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一支釣漁業：使用舢舨、漁筏或不使用船筏，操作與近海漁業中之一支釣相同。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雜魚延繩釣漁業：指使用船筏以一主幹繩結附數條浮標繩、支繩及釣鉤進行魚類之釣捕作業。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其他釣漁業：使用舢舨或漁筏從事不屬上列各項之釣具作業。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鏢旗魚漁業：使用動力漁船一艘，以鏢槍鏢捕魚類之作業。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遊漁漁業：在沿岸從事海釣、潛水、於滿潮採捕等之作業。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籠具：指利用籠、筒、籃、壺等器具，於內設置餌料或陷阱，誘捕水產生物入籠之漁業。</w:t>
      </w:r>
    </w:p>
    <w:p w:rsidR="00BF37D4" w:rsidRDefault="00E62D6E">
      <w:pPr>
        <w:numPr>
          <w:ilvl w:val="0"/>
          <w:numId w:val="4"/>
        </w:numPr>
        <w:spacing w:line="0" w:lineRule="atLeast"/>
        <w:ind w:left="171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其他：使用舢舨或漁筏從事不屬於以上各項之沿岸捕撈作業。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</w:pPr>
      <w:r>
        <w:rPr>
          <w:rFonts w:ascii="標楷體" w:eastAsia="標楷體" w:hAnsi="標楷體"/>
          <w:szCs w:val="24"/>
        </w:rPr>
        <w:t>海面</w:t>
      </w:r>
      <w:r>
        <w:rPr>
          <w:rFonts w:ascii="標楷體" w:eastAsia="標楷體" w:hAnsi="標楷體" w:cs="標楷體"/>
          <w:szCs w:val="24"/>
        </w:rPr>
        <w:t>養殖業：指在高潮線外從事水產動植物之養育或蓄養作業者。</w:t>
      </w:r>
    </w:p>
    <w:p w:rsidR="00BF37D4" w:rsidRDefault="00E62D6E">
      <w:pPr>
        <w:numPr>
          <w:ilvl w:val="0"/>
          <w:numId w:val="5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淺海養殖業：利用潮間帶及低潮線以外之淺海區域，以養殖水產生物之作業。</w:t>
      </w:r>
    </w:p>
    <w:p w:rsidR="00BF37D4" w:rsidRDefault="00E62D6E">
      <w:pPr>
        <w:numPr>
          <w:ilvl w:val="0"/>
          <w:numId w:val="5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箱網養殖業：在干潮線至外海處，使用箱網以養殖水產生物之作業。</w:t>
      </w:r>
    </w:p>
    <w:p w:rsidR="00BF37D4" w:rsidRDefault="00E62D6E">
      <w:pPr>
        <w:numPr>
          <w:ilvl w:val="0"/>
          <w:numId w:val="5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其他：不屬上列各項之海面養殖作業。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</w:pPr>
      <w:r>
        <w:rPr>
          <w:rFonts w:ascii="標楷體" w:eastAsia="標楷體" w:hAnsi="標楷體" w:cs="標楷體"/>
          <w:szCs w:val="24"/>
        </w:rPr>
        <w:t>內陸漁撈業：在內水從事水產動植物之採捕作業。</w:t>
      </w:r>
    </w:p>
    <w:p w:rsidR="00BF37D4" w:rsidRDefault="00E62D6E">
      <w:pPr>
        <w:numPr>
          <w:ilvl w:val="0"/>
          <w:numId w:val="6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河川漁撈業：使用動力或無動力漁船或不使用船筏在河川採捕水產生物之作業。</w:t>
      </w:r>
    </w:p>
    <w:p w:rsidR="00BF37D4" w:rsidRDefault="00E62D6E">
      <w:pPr>
        <w:numPr>
          <w:ilvl w:val="0"/>
          <w:numId w:val="6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水庫漁撈業：使用動力或無動力漁船或不使用船筏在水庫採捕水產生物之作業。</w:t>
      </w:r>
    </w:p>
    <w:p w:rsidR="00BF37D4" w:rsidRDefault="00E62D6E">
      <w:pPr>
        <w:numPr>
          <w:ilvl w:val="0"/>
          <w:numId w:val="6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其他：不屬於以上各項之內陸漁撈作業。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</w:pPr>
      <w:r>
        <w:rPr>
          <w:rFonts w:ascii="標楷體" w:eastAsia="標楷體" w:hAnsi="標楷體" w:cs="標楷體"/>
          <w:szCs w:val="24"/>
        </w:rPr>
        <w:t>內陸養殖業：在高潮線內從事水產動植物之養育或蓄養作業者。</w:t>
      </w:r>
    </w:p>
    <w:p w:rsidR="00BF37D4" w:rsidRDefault="00E62D6E">
      <w:pPr>
        <w:numPr>
          <w:ilvl w:val="0"/>
          <w:numId w:val="7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鹹水魚塭養殖業：在沿海地區，引灌海水，以繁殖水產生物之作業。</w:t>
      </w:r>
    </w:p>
    <w:p w:rsidR="00BF37D4" w:rsidRDefault="00E62D6E">
      <w:pPr>
        <w:numPr>
          <w:ilvl w:val="0"/>
          <w:numId w:val="7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淡水魚塭養殖業：利用土地圍築堤岸，使用經常蓄積淡水達一定深度，專供集約方養殖水產生物之作業，但不包括粗放式養殖水產生物之湖沼、水庫。</w:t>
      </w:r>
    </w:p>
    <w:p w:rsidR="00BF37D4" w:rsidRDefault="00E62D6E">
      <w:pPr>
        <w:numPr>
          <w:ilvl w:val="0"/>
          <w:numId w:val="7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箱網養殖業：利用水庫、湖沼設置箱網，以養殖水產生物之作業。</w:t>
      </w:r>
    </w:p>
    <w:p w:rsidR="00BF37D4" w:rsidRDefault="00E62D6E">
      <w:pPr>
        <w:numPr>
          <w:ilvl w:val="0"/>
          <w:numId w:val="7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觀賞魚養殖業：利用固定水域供寵物飼養或觀賞性之水生動、植物。</w:t>
      </w:r>
    </w:p>
    <w:p w:rsidR="00BF37D4" w:rsidRDefault="00E62D6E">
      <w:pPr>
        <w:numPr>
          <w:ilvl w:val="0"/>
          <w:numId w:val="7"/>
        </w:numPr>
        <w:spacing w:line="0" w:lineRule="atLeast"/>
        <w:ind w:left="160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其他：利用灌溉用等之池、埤</w:t>
      </w:r>
      <w:r>
        <w:rPr>
          <w:rFonts w:ascii="標楷體" w:eastAsia="標楷體" w:hAnsi="標楷體"/>
          <w:szCs w:val="24"/>
        </w:rPr>
        <w:t>、湖、沼、水庫等養殖水產生物之作業。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本市漁業產量統計，採屬地統計，如在本市起卸魚貨，不論其漁船屬於何縣市所有，其魚貨均列為本市之生產量，養殖漁業之生產量即列入其養殖場地所屬縣市之生產量。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漁獲量包括船上食用、船員分配或贈與他人，自己加工或販賣數量，但不包括棄投於海中之數量。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魚、貝、藻類重量計算，魚類應衡量魚之全身重量（連頭及尾），貝類連殼之重量，但蚵（蚵蠣）以除殼後之淨肉重量，海藻類以未經曬乾或加工之濕草重量計算。</w:t>
      </w:r>
    </w:p>
    <w:p w:rsidR="00BF37D4" w:rsidRDefault="00E62D6E">
      <w:pPr>
        <w:numPr>
          <w:ilvl w:val="0"/>
          <w:numId w:val="2"/>
        </w:numPr>
        <w:spacing w:line="0" w:lineRule="atLeast"/>
        <w:ind w:left="132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漁獲量於漁船進港，起卸魚貨時所屬之年份，或養殖收獲時所屬之年份計列。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統計單位：次、公噸、千尾</w:t>
      </w:r>
      <w:r>
        <w:rPr>
          <w:rFonts w:eastAsia="標楷體"/>
        </w:rPr>
        <w:t>(</w:t>
      </w:r>
      <w:r>
        <w:rPr>
          <w:rFonts w:eastAsia="標楷體"/>
        </w:rPr>
        <w:t>觀賞魚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BF37D4" w:rsidRDefault="00E62D6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統計分類：</w:t>
      </w:r>
      <w:r>
        <w:rPr>
          <w:rFonts w:ascii="標楷體" w:eastAsia="標楷體" w:hAnsi="標楷體"/>
          <w:szCs w:val="24"/>
        </w:rPr>
        <w:t>漁業分近海、沿岸、海面養殖、內陸漁撈及內陸養殖等五類。分吳郭魚類、日本真鱸、尖吻鱸、虱目魚、鮃鰈類、嘉鱲魚、黃背牙鯛、魬鯛、黑鯛、黃錫鯛、黃鰭鯛、其他鯛、花身鯻、大黃魚、小黃魚、黑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魚或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、白姑魚、鮸魚、金線魚、馬頭魚、龍占魚科、赤鰭笛鯛、鬚鯛科</w:t>
      </w:r>
      <w:r>
        <w:rPr>
          <w:rFonts w:ascii="標楷體" w:eastAsia="標楷體" w:hAnsi="標楷體"/>
          <w:szCs w:val="24"/>
        </w:rPr>
        <w:t>、鸚哥魚科、大眼鯛、其他石斑、合齒魚科、鯙科、海鰻科、斑海鯰、眼眶魚、真鰺、大甲鰺、紅尾圓鰺、甘仔鰺、紅甘鰺、其他鰺、鯔、銀鯧、燕尾鯧、刺鯧、馬鮁科、金梭魚科、沙鮻科、寶刀魚科、帶魚屬、鱰、脂眼鯡、小沙丁屬、其他鯡、鱙仔、魩仔、花腹鯖、白腹鯖、正鰹、圓花鰹、康氏馬加鰆、日本馬加鰆、臺灣馬加鰆、其他鰆類、長鰭鮪、黃鰭鮪、劍旗魚、紅肉旗魚、黑皮旗魚、雨傘旗魚、真鯊屬、其他鯊、魟類、單棘魨科、其他海水魚類、花枝、烏賊、其他魷、鎖管、軟翅、章魚、其他頭足類、日本對蝦、多毛對蝦、刀額新對蝦、鬚赤蝦、其他蝦類、龍蝦科、</w:t>
      </w:r>
      <w:r>
        <w:rPr>
          <w:rFonts w:ascii="標楷體" w:eastAsia="標楷體" w:hAnsi="標楷體"/>
          <w:szCs w:val="24"/>
        </w:rPr>
        <w:t>鋸緣青蟹、遠海梭子蟹、鳳螺、其他貝類、文蛤、其他蟳蟹類、鯉魚、鱉、蜆、草魚等加以統計。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發布週期：年。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資料變革：無。</w:t>
      </w:r>
    </w:p>
    <w:p w:rsidR="00BF37D4" w:rsidRDefault="00E62D6E">
      <w:pPr>
        <w:numPr>
          <w:ilvl w:val="0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公開資料發布訊息</w:t>
      </w:r>
    </w:p>
    <w:p w:rsidR="00BF37D4" w:rsidRDefault="00E62D6E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eastAsia="標楷體"/>
        </w:rPr>
      </w:pPr>
      <w:r>
        <w:rPr>
          <w:rFonts w:eastAsia="標楷體"/>
        </w:rPr>
        <w:t>預告發布日期：每年終了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  <w:r>
        <w:rPr>
          <w:rFonts w:eastAsia="標楷體"/>
        </w:rPr>
        <w:t>(</w:t>
      </w:r>
      <w:r>
        <w:rPr>
          <w:rFonts w:eastAsia="標楷體"/>
        </w:rPr>
        <w:t>原訂預告發布日期如遇例假日或國定假日則延至下一個工作日發布</w:t>
      </w:r>
      <w:r>
        <w:rPr>
          <w:rFonts w:eastAsia="標楷體"/>
        </w:rPr>
        <w:t>)</w:t>
      </w:r>
    </w:p>
    <w:p w:rsidR="00BF37D4" w:rsidRDefault="00E62D6E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同步發送單位：臺中市政府主計處。</w:t>
      </w:r>
    </w:p>
    <w:p w:rsidR="00BF37D4" w:rsidRDefault="00E62D6E">
      <w:pPr>
        <w:numPr>
          <w:ilvl w:val="0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資料品質</w:t>
      </w:r>
    </w:p>
    <w:p w:rsidR="00BF37D4" w:rsidRDefault="00E62D6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統計指標編製方法與資料來源說明：</w:t>
      </w:r>
      <w:r>
        <w:rPr>
          <w:rFonts w:ascii="標楷體" w:eastAsia="標楷體" w:hAnsi="標楷體"/>
          <w:szCs w:val="24"/>
        </w:rPr>
        <w:t>本所農業課依據養殖漁業管理系統資料編製。</w:t>
      </w:r>
    </w:p>
    <w:p w:rsidR="00BF37D4" w:rsidRDefault="00E62D6E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eastAsia="標楷體"/>
          <w:szCs w:val="24"/>
        </w:rPr>
        <w:t>。</w:t>
      </w:r>
    </w:p>
    <w:p w:rsidR="00BF37D4" w:rsidRDefault="00E62D6E">
      <w:pPr>
        <w:numPr>
          <w:ilvl w:val="0"/>
          <w:numId w:val="1"/>
        </w:numPr>
        <w:spacing w:line="0" w:lineRule="atLeast"/>
      </w:pPr>
      <w:r>
        <w:rPr>
          <w:rFonts w:eastAsia="標楷體"/>
        </w:rPr>
        <w:t>須注意及預定改變之事項：表號</w:t>
      </w:r>
      <w:r>
        <w:rPr>
          <w:rFonts w:eastAsia="標楷體"/>
        </w:rPr>
        <w:t>20341-02-01-3</w:t>
      </w:r>
      <w:r>
        <w:rPr>
          <w:rFonts w:eastAsia="標楷體"/>
        </w:rPr>
        <w:t>。</w:t>
      </w:r>
    </w:p>
    <w:p w:rsidR="00BF37D4" w:rsidRDefault="00E62D6E">
      <w:pPr>
        <w:numPr>
          <w:ilvl w:val="0"/>
          <w:numId w:val="1"/>
        </w:numPr>
        <w:spacing w:line="0" w:lineRule="atLeast"/>
      </w:pPr>
      <w:r>
        <w:rPr>
          <w:rFonts w:ascii="標楷體" w:eastAsia="標楷體" w:hAnsi="標楷體"/>
        </w:rPr>
        <w:t>其他事項：無</w:t>
      </w:r>
      <w:r>
        <w:rPr>
          <w:rFonts w:eastAsia="標楷體"/>
        </w:rPr>
        <w:t>。</w:t>
      </w:r>
    </w:p>
    <w:sectPr w:rsidR="00BF37D4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62D6E">
      <w:r>
        <w:separator/>
      </w:r>
    </w:p>
  </w:endnote>
  <w:endnote w:type="continuationSeparator" w:id="0">
    <w:p w:rsidR="00000000" w:rsidRDefault="00E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62D6E">
      <w:r>
        <w:rPr>
          <w:color w:val="000000"/>
        </w:rPr>
        <w:separator/>
      </w:r>
    </w:p>
  </w:footnote>
  <w:footnote w:type="continuationSeparator" w:id="0">
    <w:p w:rsidR="00000000" w:rsidRDefault="00E6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C46"/>
    <w:multiLevelType w:val="multilevel"/>
    <w:tmpl w:val="77EAB1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C44C6"/>
    <w:multiLevelType w:val="multilevel"/>
    <w:tmpl w:val="327AEA3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5141F4"/>
    <w:multiLevelType w:val="multilevel"/>
    <w:tmpl w:val="FD96F0C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6844D2"/>
    <w:multiLevelType w:val="multilevel"/>
    <w:tmpl w:val="C8B6A8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F71373"/>
    <w:multiLevelType w:val="multilevel"/>
    <w:tmpl w:val="8AAEDA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5A4651"/>
    <w:multiLevelType w:val="multilevel"/>
    <w:tmpl w:val="8CEE0D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FD723F"/>
    <w:multiLevelType w:val="multilevel"/>
    <w:tmpl w:val="4B70692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"/>
      <w:lvlJc w:val="left"/>
      <w:pPr>
        <w:ind w:left="960" w:hanging="480"/>
      </w:pPr>
      <w:rPr>
        <w:rFonts w:ascii="Wingdings 2" w:hAnsi="Wingdings 2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21061860">
    <w:abstractNumId w:val="6"/>
  </w:num>
  <w:num w:numId="2" w16cid:durableId="16274283">
    <w:abstractNumId w:val="1"/>
  </w:num>
  <w:num w:numId="3" w16cid:durableId="1888881255">
    <w:abstractNumId w:val="3"/>
  </w:num>
  <w:num w:numId="4" w16cid:durableId="323239625">
    <w:abstractNumId w:val="5"/>
  </w:num>
  <w:num w:numId="5" w16cid:durableId="460658342">
    <w:abstractNumId w:val="0"/>
  </w:num>
  <w:num w:numId="6" w16cid:durableId="466239995">
    <w:abstractNumId w:val="4"/>
  </w:num>
  <w:num w:numId="7" w16cid:durableId="189107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37D4"/>
    <w:rsid w:val="00BF37D4"/>
    <w:rsid w:val="00E6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Plain Text"/>
    <w:basedOn w:val="a"/>
    <w:pPr>
      <w:spacing w:line="360" w:lineRule="atLeast"/>
    </w:pPr>
    <w:rPr>
      <w:rFonts w:ascii="細明體" w:eastAsia="細明體" w:hAnsi="細明體"/>
      <w:kern w:val="0"/>
    </w:rPr>
  </w:style>
  <w:style w:type="character" w:customStyle="1" w:styleId="a9">
    <w:name w:val="純文字 字元"/>
    <w:rPr>
      <w:rFonts w:ascii="細明體" w:eastAsia="細明體" w:hAnsi="細明體"/>
      <w:sz w:val="24"/>
    </w:rPr>
  </w:style>
  <w:style w:type="character" w:styleId="aa">
    <w:name w:val="Unresolved Mention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tccg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dc:description/>
  <cp:lastModifiedBy>Jason</cp:lastModifiedBy>
  <cp:revision>2</cp:revision>
  <cp:lastPrinted>2024-02-20T06:57:00Z</cp:lastPrinted>
  <dcterms:created xsi:type="dcterms:W3CDTF">2024-12-13T07:11:00Z</dcterms:created>
  <dcterms:modified xsi:type="dcterms:W3CDTF">2024-12-13T07:11:00Z</dcterms:modified>
</cp:coreProperties>
</file>