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41DC5" w14:textId="77777777" w:rsidR="00C138C8" w:rsidRDefault="009F63C1">
      <w:pPr>
        <w:pStyle w:val="Standard"/>
        <w:spacing w:line="360" w:lineRule="exact"/>
        <w:jc w:val="center"/>
        <w:rPr>
          <w:rFonts w:ascii="標楷體" w:eastAsia="標楷體" w:hAnsi="標楷體" w:cs="標楷體"/>
          <w:spacing w:val="-4"/>
          <w:sz w:val="28"/>
          <w:szCs w:val="28"/>
        </w:rPr>
      </w:pPr>
      <w:r>
        <w:rPr>
          <w:rFonts w:ascii="標楷體" w:eastAsia="標楷體" w:hAnsi="標楷體" w:cs="標楷體"/>
          <w:spacing w:val="-4"/>
          <w:sz w:val="28"/>
          <w:szCs w:val="28"/>
        </w:rPr>
        <w:t>統計資料背景說明</w:t>
      </w:r>
    </w:p>
    <w:p w14:paraId="1A06E2DD" w14:textId="77777777" w:rsidR="00C138C8" w:rsidRDefault="009F63C1">
      <w:pPr>
        <w:pStyle w:val="Standard"/>
        <w:spacing w:line="360" w:lineRule="exact"/>
        <w:rPr>
          <w:rFonts w:ascii="標楷體" w:eastAsia="標楷體" w:hAnsi="標楷體" w:cs="標楷體"/>
          <w:spacing w:val="-4"/>
          <w:sz w:val="28"/>
          <w:szCs w:val="28"/>
        </w:rPr>
      </w:pPr>
      <w:r>
        <w:rPr>
          <w:rFonts w:ascii="標楷體" w:eastAsia="標楷體" w:hAnsi="標楷體" w:cs="標楷體"/>
          <w:spacing w:val="-4"/>
          <w:sz w:val="28"/>
          <w:szCs w:val="28"/>
        </w:rPr>
        <w:t>資料種類：農業統計</w:t>
      </w:r>
    </w:p>
    <w:p w14:paraId="1539F907" w14:textId="77777777" w:rsidR="00C138C8" w:rsidRDefault="009F63C1">
      <w:pPr>
        <w:pStyle w:val="Standard"/>
        <w:spacing w:line="360" w:lineRule="exact"/>
        <w:rPr>
          <w:rFonts w:ascii="標楷體" w:eastAsia="標楷體" w:hAnsi="標楷體" w:cs="標楷體"/>
          <w:spacing w:val="-4"/>
          <w:sz w:val="28"/>
          <w:szCs w:val="28"/>
        </w:rPr>
      </w:pPr>
      <w:r>
        <w:rPr>
          <w:rFonts w:ascii="標楷體" w:eastAsia="標楷體" w:hAnsi="標楷體" w:cs="標楷體"/>
          <w:spacing w:val="-4"/>
          <w:sz w:val="28"/>
          <w:szCs w:val="28"/>
        </w:rPr>
        <w:t>資料項目：臺中市農路改善及維護工程</w:t>
      </w:r>
    </w:p>
    <w:p w14:paraId="6C13329E" w14:textId="77777777" w:rsidR="00C138C8" w:rsidRDefault="009F63C1">
      <w:pPr>
        <w:pStyle w:val="Standard"/>
        <w:spacing w:line="320" w:lineRule="exact"/>
        <w:ind w:left="720" w:hanging="426"/>
        <w:jc w:val="both"/>
        <w:rPr>
          <w:rFonts w:ascii="標楷體" w:eastAsia="標楷體" w:hAnsi="標楷體" w:cs="標楷體"/>
          <w:spacing w:val="-4"/>
          <w:sz w:val="28"/>
          <w:szCs w:val="28"/>
        </w:rPr>
      </w:pPr>
      <w:r>
        <w:rPr>
          <w:rFonts w:ascii="標楷體" w:eastAsia="標楷體" w:hAnsi="標楷體" w:cs="標楷體"/>
          <w:spacing w:val="-4"/>
          <w:sz w:val="28"/>
          <w:szCs w:val="28"/>
        </w:rPr>
        <w:t>一、發布及編製機關單位：</w:t>
      </w:r>
    </w:p>
    <w:p w14:paraId="3789D6A1"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＊發布機關：臺中市政府水利局會計室</w:t>
      </w:r>
    </w:p>
    <w:p w14:paraId="3DFBA273"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＊編製單位：臺中市政府水利局</w:t>
      </w:r>
      <w:r>
        <w:rPr>
          <w:rFonts w:ascii="標楷體" w:eastAsia="標楷體" w:hAnsi="標楷體" w:cs="標楷體"/>
          <w:sz w:val="28"/>
          <w:szCs w:val="28"/>
        </w:rPr>
        <w:t>水土保持工程科</w:t>
      </w:r>
    </w:p>
    <w:p w14:paraId="7993E5F3"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＊聯絡電話：</w:t>
      </w:r>
      <w:r>
        <w:rPr>
          <w:rFonts w:ascii="標楷體" w:eastAsia="標楷體" w:hAnsi="標楷體" w:cs="標楷體"/>
          <w:spacing w:val="-4"/>
          <w:sz w:val="28"/>
          <w:szCs w:val="28"/>
        </w:rPr>
        <w:t>(04)2228-9111</w:t>
      </w:r>
      <w:r>
        <w:rPr>
          <w:rFonts w:ascii="標楷體" w:eastAsia="標楷體" w:hAnsi="標楷體" w:cs="標楷體"/>
          <w:spacing w:val="-4"/>
          <w:sz w:val="28"/>
          <w:szCs w:val="28"/>
        </w:rPr>
        <w:t>轉</w:t>
      </w:r>
      <w:r>
        <w:rPr>
          <w:rFonts w:ascii="標楷體" w:eastAsia="標楷體" w:hAnsi="標楷體" w:cs="標楷體"/>
          <w:spacing w:val="-4"/>
          <w:sz w:val="28"/>
          <w:szCs w:val="28"/>
        </w:rPr>
        <w:t>53611</w:t>
      </w:r>
    </w:p>
    <w:p w14:paraId="39E982C1"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＊電子信箱：</w:t>
      </w:r>
      <w:r>
        <w:rPr>
          <w:rFonts w:ascii="標楷體" w:eastAsia="標楷體" w:hAnsi="標楷體" w:cs="標楷體"/>
          <w:spacing w:val="-4"/>
          <w:sz w:val="28"/>
          <w:szCs w:val="28"/>
          <w:u w:val="single"/>
        </w:rPr>
        <w:t>f</w:t>
      </w:r>
      <w:hyperlink r:id="rId7" w:history="1">
        <w:r>
          <w:t>40115</w:t>
        </w:r>
      </w:hyperlink>
      <w:hyperlink r:id="rId8" w:history="1">
        <w:r>
          <w:rPr>
            <w:rFonts w:ascii="標楷體" w:eastAsia="標楷體" w:hAnsi="標楷體" w:cs="標楷體"/>
            <w:spacing w:val="-4"/>
            <w:sz w:val="28"/>
            <w:szCs w:val="28"/>
            <w:u w:val="single"/>
          </w:rPr>
          <w:t>@</w:t>
        </w:r>
      </w:hyperlink>
      <w:hyperlink r:id="rId9" w:history="1">
        <w:r>
          <w:rPr>
            <w:rFonts w:ascii="標楷體" w:eastAsia="標楷體" w:hAnsi="標楷體" w:cs="標楷體"/>
            <w:spacing w:val="-4"/>
            <w:sz w:val="28"/>
            <w:szCs w:val="28"/>
            <w:u w:val="single"/>
          </w:rPr>
          <w:t>taichung</w:t>
        </w:r>
      </w:hyperlink>
      <w:hyperlink r:id="rId10" w:history="1">
        <w:r>
          <w:rPr>
            <w:rFonts w:ascii="標楷體" w:eastAsia="標楷體" w:hAnsi="標楷體" w:cs="標楷體"/>
            <w:spacing w:val="-4"/>
            <w:sz w:val="28"/>
            <w:szCs w:val="28"/>
            <w:u w:val="single"/>
          </w:rPr>
          <w:t>.go</w:t>
        </w:r>
        <w:r>
          <w:rPr>
            <w:rFonts w:ascii="標楷體" w:eastAsia="標楷體" w:hAnsi="標楷體" w:cs="標楷體"/>
            <w:spacing w:val="-4"/>
            <w:sz w:val="28"/>
            <w:szCs w:val="28"/>
            <w:u w:val="single"/>
          </w:rPr>
          <w:t>v.tw</w:t>
        </w:r>
      </w:hyperlink>
    </w:p>
    <w:p w14:paraId="4E49FA1B" w14:textId="77777777" w:rsidR="00C138C8" w:rsidRDefault="009F63C1">
      <w:pPr>
        <w:pStyle w:val="Standard"/>
        <w:spacing w:line="320" w:lineRule="exact"/>
        <w:ind w:left="720" w:hanging="426"/>
        <w:jc w:val="both"/>
        <w:rPr>
          <w:rFonts w:ascii="標楷體" w:eastAsia="標楷體" w:hAnsi="標楷體" w:cs="標楷體"/>
          <w:spacing w:val="-4"/>
          <w:sz w:val="28"/>
          <w:szCs w:val="28"/>
        </w:rPr>
      </w:pPr>
      <w:r>
        <w:rPr>
          <w:rFonts w:ascii="標楷體" w:eastAsia="標楷體" w:hAnsi="標楷體" w:cs="標楷體"/>
          <w:spacing w:val="-4"/>
          <w:sz w:val="28"/>
          <w:szCs w:val="28"/>
        </w:rPr>
        <w:t>二、發布形式</w:t>
      </w:r>
    </w:p>
    <w:p w14:paraId="070CCF67" w14:textId="77777777" w:rsidR="00C138C8" w:rsidRDefault="009F63C1">
      <w:pPr>
        <w:pStyle w:val="Standard"/>
        <w:spacing w:line="320" w:lineRule="exact"/>
        <w:ind w:left="579"/>
        <w:jc w:val="both"/>
      </w:pPr>
      <w:r>
        <w:rPr>
          <w:rFonts w:ascii="標楷體" w:eastAsia="標楷體" w:hAnsi="標楷體" w:cs="標楷體"/>
          <w:spacing w:val="-4"/>
          <w:sz w:val="28"/>
          <w:szCs w:val="28"/>
        </w:rPr>
        <w:t>＊</w:t>
      </w:r>
      <w:r>
        <w:rPr>
          <w:rFonts w:ascii="標楷體" w:eastAsia="標楷體" w:hAnsi="標楷體"/>
          <w:sz w:val="28"/>
          <w:szCs w:val="28"/>
        </w:rPr>
        <w:t>口頭：</w:t>
      </w:r>
    </w:p>
    <w:p w14:paraId="117D63FC" w14:textId="77777777" w:rsidR="00C138C8" w:rsidRDefault="009F63C1">
      <w:pPr>
        <w:pStyle w:val="Standard"/>
        <w:spacing w:line="320" w:lineRule="exact"/>
        <w:ind w:left="616" w:hanging="616"/>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）記者會或說明會</w:t>
      </w:r>
    </w:p>
    <w:p w14:paraId="12716B8E" w14:textId="77777777" w:rsidR="00C138C8" w:rsidRDefault="009F63C1">
      <w:pPr>
        <w:pStyle w:val="Standard"/>
        <w:numPr>
          <w:ilvl w:val="0"/>
          <w:numId w:val="11"/>
        </w:numPr>
        <w:spacing w:line="320" w:lineRule="exact"/>
        <w:jc w:val="both"/>
        <w:rPr>
          <w:rFonts w:ascii="標楷體" w:eastAsia="標楷體" w:hAnsi="標楷體"/>
          <w:sz w:val="28"/>
          <w:szCs w:val="28"/>
        </w:rPr>
      </w:pPr>
      <w:r>
        <w:rPr>
          <w:rFonts w:ascii="標楷體" w:eastAsia="標楷體" w:hAnsi="標楷體"/>
          <w:sz w:val="28"/>
          <w:szCs w:val="28"/>
        </w:rPr>
        <w:t>書面：</w:t>
      </w:r>
    </w:p>
    <w:p w14:paraId="2437D21F" w14:textId="77777777" w:rsidR="00C138C8" w:rsidRDefault="009F63C1">
      <w:pPr>
        <w:pStyle w:val="Standard"/>
        <w:spacing w:line="320" w:lineRule="exact"/>
        <w:ind w:left="616" w:hanging="332"/>
        <w:jc w:val="both"/>
        <w:rPr>
          <w:rFonts w:ascii="標楷體" w:eastAsia="標楷體" w:hAnsi="標楷體"/>
          <w:sz w:val="28"/>
          <w:szCs w:val="28"/>
        </w:rPr>
      </w:pPr>
      <w:r>
        <w:rPr>
          <w:rFonts w:ascii="標楷體" w:eastAsia="標楷體" w:hAnsi="標楷體" w:cs="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）新聞稿</w:t>
      </w:r>
      <w:r>
        <w:rPr>
          <w:rFonts w:ascii="標楷體" w:eastAsia="標楷體" w:hAnsi="標楷體"/>
          <w:sz w:val="28"/>
          <w:szCs w:val="28"/>
        </w:rPr>
        <w:t xml:space="preserve">   </w:t>
      </w:r>
      <w:r>
        <w:rPr>
          <w:rFonts w:ascii="標楷體" w:eastAsia="標楷體" w:hAnsi="標楷體"/>
          <w:sz w:val="28"/>
          <w:szCs w:val="28"/>
        </w:rPr>
        <w:t>（）報表</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）書刊，刊名：</w:t>
      </w:r>
    </w:p>
    <w:p w14:paraId="0C84B732" w14:textId="77777777" w:rsidR="00C138C8" w:rsidRDefault="009F63C1">
      <w:pPr>
        <w:pStyle w:val="Standard"/>
        <w:spacing w:line="320" w:lineRule="exact"/>
        <w:ind w:left="616" w:hanging="49"/>
        <w:jc w:val="both"/>
        <w:rPr>
          <w:rFonts w:ascii="標楷體" w:eastAsia="標楷體" w:hAnsi="標楷體"/>
          <w:sz w:val="28"/>
          <w:szCs w:val="28"/>
        </w:rPr>
      </w:pPr>
      <w:r>
        <w:rPr>
          <w:rFonts w:ascii="標楷體" w:eastAsia="標楷體" w:hAnsi="標楷體"/>
          <w:sz w:val="28"/>
          <w:szCs w:val="28"/>
        </w:rPr>
        <w:t>＊電子媒體：</w:t>
      </w:r>
    </w:p>
    <w:p w14:paraId="5A74BB06" w14:textId="77777777" w:rsidR="00C138C8" w:rsidRDefault="009F63C1">
      <w:pPr>
        <w:pStyle w:val="Standard"/>
        <w:spacing w:line="320" w:lineRule="exact"/>
        <w:ind w:left="616" w:firstLine="93"/>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）線上書刊及資料庫，網址：</w:t>
      </w:r>
    </w:p>
    <w:p w14:paraId="4B37C86B" w14:textId="77777777" w:rsidR="00C138C8" w:rsidRDefault="009F63C1">
      <w:pPr>
        <w:pStyle w:val="Standard"/>
        <w:spacing w:line="320" w:lineRule="exact"/>
        <w:ind w:left="616" w:firstLine="93"/>
        <w:jc w:val="both"/>
      </w:pP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）磁片</w:t>
      </w:r>
      <w:r>
        <w:rPr>
          <w:rFonts w:ascii="標楷體" w:eastAsia="標楷體" w:hAnsi="標楷體"/>
          <w:sz w:val="28"/>
          <w:szCs w:val="28"/>
        </w:rPr>
        <w:t xml:space="preserve">   </w:t>
      </w:r>
      <w:r>
        <w:rPr>
          <w:rFonts w:ascii="標楷體" w:eastAsia="標楷體" w:hAnsi="標楷體"/>
          <w:sz w:val="28"/>
          <w:szCs w:val="28"/>
        </w:rPr>
        <w:t>（</w:t>
      </w:r>
      <w:r>
        <w:rPr>
          <w:rFonts w:ascii="標楷體" w:eastAsia="標楷體" w:hAnsi="標楷體"/>
          <w:sz w:val="28"/>
          <w:szCs w:val="28"/>
        </w:rPr>
        <w:t xml:space="preserve"> </w:t>
      </w:r>
      <w:r>
        <w:rPr>
          <w:rFonts w:ascii="標楷體" w:eastAsia="標楷體" w:hAnsi="標楷體"/>
          <w:sz w:val="28"/>
          <w:szCs w:val="28"/>
        </w:rPr>
        <w:t>）光碟片</w:t>
      </w:r>
      <w:r>
        <w:rPr>
          <w:rFonts w:ascii="標楷體" w:eastAsia="標楷體" w:hAnsi="標楷體"/>
          <w:sz w:val="28"/>
          <w:szCs w:val="28"/>
        </w:rPr>
        <w:t xml:space="preserve">  </w:t>
      </w:r>
      <w:r>
        <w:rPr>
          <w:rFonts w:ascii="標楷體" w:eastAsia="標楷體" w:hAnsi="標楷體"/>
          <w:sz w:val="28"/>
          <w:szCs w:val="28"/>
        </w:rPr>
        <w:t>（</w:t>
      </w:r>
      <w:r>
        <w:rPr>
          <w:rFonts w:ascii="Wingdings" w:eastAsia="Wingdings" w:hAnsi="Wingdings" w:cs="Wingdings"/>
          <w:sz w:val="28"/>
          <w:szCs w:val="28"/>
        </w:rPr>
        <w:t></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報表</w:t>
      </w:r>
      <w:r>
        <w:rPr>
          <w:rFonts w:ascii="標楷體" w:eastAsia="標楷體" w:hAnsi="標楷體"/>
          <w:sz w:val="28"/>
          <w:szCs w:val="28"/>
        </w:rPr>
        <w:t>)</w:t>
      </w:r>
    </w:p>
    <w:p w14:paraId="361098A6"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三、資料範圍、週期及時效：</w:t>
      </w:r>
    </w:p>
    <w:p w14:paraId="35BCE1BC" w14:textId="77777777" w:rsidR="00C138C8" w:rsidRDefault="009F63C1">
      <w:pPr>
        <w:pStyle w:val="Standard"/>
        <w:spacing w:line="320" w:lineRule="exact"/>
        <w:ind w:left="1296" w:hanging="816"/>
        <w:jc w:val="both"/>
      </w:pPr>
      <w:r>
        <w:rPr>
          <w:rFonts w:ascii="標楷體" w:eastAsia="標楷體" w:hAnsi="標楷體" w:cs="標楷體"/>
          <w:spacing w:val="-4"/>
          <w:sz w:val="28"/>
          <w:szCs w:val="28"/>
        </w:rPr>
        <w:t>＊統計地區範圍及對象：凡在本市轄區內為農村生產資材與產物運輸需要而輔助改善及維護之農路為統計對象。</w:t>
      </w:r>
    </w:p>
    <w:p w14:paraId="2A2CC370"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＊統計標準時間：以會計年度期間之事實為準。</w:t>
      </w:r>
    </w:p>
    <w:p w14:paraId="125266DF" w14:textId="77777777" w:rsidR="00C138C8" w:rsidRDefault="009F63C1">
      <w:pPr>
        <w:pStyle w:val="Standard"/>
        <w:spacing w:line="320" w:lineRule="exact"/>
        <w:ind w:left="120" w:firstLine="408"/>
        <w:jc w:val="both"/>
        <w:rPr>
          <w:rFonts w:ascii="標楷體" w:eastAsia="標楷體" w:hAnsi="標楷體" w:cs="標楷體"/>
          <w:spacing w:val="-4"/>
          <w:sz w:val="28"/>
          <w:szCs w:val="28"/>
        </w:rPr>
      </w:pPr>
      <w:r>
        <w:rPr>
          <w:rFonts w:ascii="標楷體" w:eastAsia="標楷體" w:hAnsi="標楷體" w:cs="標楷體"/>
          <w:spacing w:val="-4"/>
          <w:sz w:val="28"/>
          <w:szCs w:val="28"/>
        </w:rPr>
        <w:t>＊統計項目定義：</w:t>
      </w:r>
    </w:p>
    <w:tbl>
      <w:tblPr>
        <w:tblW w:w="8696" w:type="dxa"/>
        <w:tblInd w:w="-13" w:type="dxa"/>
        <w:tblLayout w:type="fixed"/>
        <w:tblCellMar>
          <w:left w:w="10" w:type="dxa"/>
          <w:right w:w="10" w:type="dxa"/>
        </w:tblCellMar>
        <w:tblLook w:val="04A0" w:firstRow="1" w:lastRow="0" w:firstColumn="1" w:lastColumn="0" w:noHBand="0" w:noVBand="1"/>
      </w:tblPr>
      <w:tblGrid>
        <w:gridCol w:w="8696"/>
      </w:tblGrid>
      <w:tr w:rsidR="00C138C8" w14:paraId="281B416C" w14:textId="77777777">
        <w:tblPrEx>
          <w:tblCellMar>
            <w:top w:w="0" w:type="dxa"/>
            <w:bottom w:w="0" w:type="dxa"/>
          </w:tblCellMar>
        </w:tblPrEx>
        <w:trPr>
          <w:trHeight w:val="600"/>
        </w:trPr>
        <w:tc>
          <w:tcPr>
            <w:tcW w:w="8696" w:type="dxa"/>
            <w:tcMar>
              <w:top w:w="0" w:type="dxa"/>
              <w:left w:w="28" w:type="dxa"/>
              <w:bottom w:w="0" w:type="dxa"/>
              <w:right w:w="28" w:type="dxa"/>
            </w:tcMar>
            <w:vAlign w:val="bottom"/>
          </w:tcPr>
          <w:tbl>
            <w:tblPr>
              <w:tblW w:w="8640" w:type="dxa"/>
              <w:tblLayout w:type="fixed"/>
              <w:tblCellMar>
                <w:left w:w="10" w:type="dxa"/>
                <w:right w:w="10" w:type="dxa"/>
              </w:tblCellMar>
              <w:tblLook w:val="04A0" w:firstRow="1" w:lastRow="0" w:firstColumn="1" w:lastColumn="0" w:noHBand="0" w:noVBand="1"/>
            </w:tblPr>
            <w:tblGrid>
              <w:gridCol w:w="8640"/>
            </w:tblGrid>
            <w:tr w:rsidR="00C138C8" w14:paraId="2E787C80" w14:textId="77777777">
              <w:tblPrEx>
                <w:tblCellMar>
                  <w:top w:w="0" w:type="dxa"/>
                  <w:bottom w:w="0" w:type="dxa"/>
                </w:tblCellMar>
              </w:tblPrEx>
              <w:trPr>
                <w:trHeight w:val="499"/>
              </w:trPr>
              <w:tc>
                <w:tcPr>
                  <w:tcW w:w="8640" w:type="dxa"/>
                  <w:tcMar>
                    <w:top w:w="0" w:type="dxa"/>
                    <w:left w:w="28" w:type="dxa"/>
                    <w:bottom w:w="0" w:type="dxa"/>
                    <w:right w:w="28" w:type="dxa"/>
                  </w:tcMar>
                  <w:vAlign w:val="center"/>
                </w:tcPr>
                <w:p w14:paraId="7E4141EA" w14:textId="77777777" w:rsidR="00C138C8" w:rsidRDefault="009F63C1">
                  <w:pPr>
                    <w:pStyle w:val="Standard"/>
                    <w:spacing w:line="320" w:lineRule="exact"/>
                    <w:ind w:left="1416" w:hanging="816"/>
                    <w:jc w:val="both"/>
                    <w:rPr>
                      <w:rFonts w:ascii="標楷體" w:eastAsia="標楷體" w:hAnsi="標楷體" w:cs="標楷體"/>
                      <w:spacing w:val="-4"/>
                      <w:sz w:val="28"/>
                      <w:szCs w:val="28"/>
                    </w:rPr>
                  </w:pPr>
                  <w:r>
                    <w:rPr>
                      <w:rFonts w:ascii="標楷體" w:eastAsia="標楷體" w:hAnsi="標楷體" w:cs="標楷體"/>
                      <w:spacing w:val="-4"/>
                      <w:sz w:val="28"/>
                      <w:szCs w:val="28"/>
                    </w:rPr>
                    <w:t>（一）總工程費：本年度已完工者以決算金額，未完工以發包實際需要工程費填報，惟不含管理費在內。</w:t>
                  </w:r>
                </w:p>
                <w:p w14:paraId="288AA419" w14:textId="77777777" w:rsidR="00C138C8" w:rsidRDefault="009F63C1">
                  <w:pPr>
                    <w:pStyle w:val="Standard"/>
                    <w:spacing w:line="320" w:lineRule="exact"/>
                    <w:ind w:left="1416" w:hanging="816"/>
                    <w:jc w:val="both"/>
                    <w:rPr>
                      <w:rFonts w:ascii="標楷體" w:eastAsia="標楷體" w:hAnsi="標楷體" w:cs="標楷體"/>
                      <w:spacing w:val="-4"/>
                      <w:sz w:val="28"/>
                      <w:szCs w:val="28"/>
                    </w:rPr>
                  </w:pPr>
                  <w:r>
                    <w:rPr>
                      <w:rFonts w:ascii="標楷體" w:eastAsia="標楷體" w:hAnsi="標楷體" w:cs="標楷體"/>
                      <w:spacing w:val="-4"/>
                      <w:sz w:val="28"/>
                      <w:szCs w:val="28"/>
                    </w:rPr>
                    <w:t>（二）農路：係指各區道路、產業道路等鄰側支線及末端之地區間，運輸農產物及農業生產材之農村道路。</w:t>
                  </w:r>
                </w:p>
                <w:p w14:paraId="69C610BF"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＊統計單位：公里、新台幣元。</w:t>
                  </w:r>
                </w:p>
                <w:p w14:paraId="6E7D5C08" w14:textId="77777777" w:rsidR="00C138C8" w:rsidRDefault="009F63C1">
                  <w:pPr>
                    <w:pStyle w:val="Standard"/>
                    <w:spacing w:line="320" w:lineRule="exact"/>
                    <w:ind w:left="2112" w:hanging="1632"/>
                    <w:jc w:val="both"/>
                  </w:pPr>
                  <w:r>
                    <w:rPr>
                      <w:rFonts w:ascii="標楷體" w:eastAsia="標楷體" w:hAnsi="標楷體" w:cs="標楷體"/>
                      <w:spacing w:val="-4"/>
                      <w:sz w:val="28"/>
                      <w:szCs w:val="28"/>
                    </w:rPr>
                    <w:t>＊統計分類：按工程名稱、地點、道路總長度分；總工程費按中央、市、其他等經費來源分。</w:t>
                  </w:r>
                </w:p>
                <w:p w14:paraId="5A408748"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＊發布週期：年。</w:t>
                  </w:r>
                </w:p>
                <w:p w14:paraId="7892B00B" w14:textId="77777777" w:rsidR="00C138C8" w:rsidRDefault="009F63C1">
                  <w:pPr>
                    <w:pStyle w:val="Standard"/>
                    <w:spacing w:line="320" w:lineRule="exact"/>
                    <w:ind w:firstLine="544"/>
                    <w:jc w:val="both"/>
                    <w:rPr>
                      <w:rFonts w:ascii="標楷體" w:eastAsia="標楷體" w:hAnsi="標楷體" w:cs="標楷體"/>
                      <w:spacing w:val="-4"/>
                      <w:sz w:val="28"/>
                      <w:szCs w:val="28"/>
                    </w:rPr>
                  </w:pPr>
                  <w:r>
                    <w:rPr>
                      <w:rFonts w:ascii="標楷體" w:eastAsia="標楷體" w:hAnsi="標楷體" w:cs="標楷體"/>
                      <w:spacing w:val="-4"/>
                      <w:sz w:val="28"/>
                      <w:szCs w:val="28"/>
                    </w:rPr>
                    <w:t>＊時效：</w:t>
                  </w:r>
                  <w:r>
                    <w:rPr>
                      <w:rFonts w:ascii="標楷體" w:eastAsia="標楷體" w:hAnsi="標楷體" w:cs="標楷體"/>
                      <w:spacing w:val="-4"/>
                      <w:sz w:val="28"/>
                      <w:szCs w:val="28"/>
                    </w:rPr>
                    <w:t>2</w:t>
                  </w:r>
                  <w:r>
                    <w:rPr>
                      <w:rFonts w:ascii="標楷體" w:eastAsia="標楷體" w:hAnsi="標楷體" w:cs="標楷體"/>
                      <w:spacing w:val="-4"/>
                      <w:sz w:val="28"/>
                      <w:szCs w:val="28"/>
                    </w:rPr>
                    <w:t>個月。</w:t>
                  </w:r>
                </w:p>
              </w:tc>
            </w:tr>
          </w:tbl>
          <w:p w14:paraId="5F4D008E" w14:textId="77777777" w:rsidR="00C138C8" w:rsidRDefault="00C138C8">
            <w:pPr>
              <w:pStyle w:val="Standard"/>
              <w:spacing w:line="320" w:lineRule="exact"/>
              <w:ind w:left="720" w:hanging="426"/>
              <w:jc w:val="both"/>
              <w:rPr>
                <w:rFonts w:ascii="標楷體" w:eastAsia="標楷體" w:hAnsi="標楷體" w:cs="標楷體"/>
                <w:spacing w:val="-4"/>
                <w:sz w:val="28"/>
                <w:szCs w:val="28"/>
              </w:rPr>
            </w:pPr>
          </w:p>
        </w:tc>
      </w:tr>
    </w:tbl>
    <w:p w14:paraId="38A98D0C" w14:textId="77777777" w:rsidR="00C138C8" w:rsidRDefault="009F63C1">
      <w:pPr>
        <w:pStyle w:val="Standard"/>
        <w:spacing w:line="320" w:lineRule="exact"/>
        <w:ind w:firstLine="555"/>
        <w:jc w:val="both"/>
      </w:pPr>
      <w:r>
        <w:rPr>
          <w:rFonts w:ascii="標楷體" w:eastAsia="標楷體" w:hAnsi="標楷體" w:cs="標楷體"/>
          <w:spacing w:val="-4"/>
          <w:sz w:val="28"/>
          <w:szCs w:val="28"/>
        </w:rPr>
        <w:t>＊資料變革：無。</w:t>
      </w:r>
    </w:p>
    <w:p w14:paraId="5B94E3C5" w14:textId="77777777" w:rsidR="00C138C8" w:rsidRDefault="00C138C8">
      <w:pPr>
        <w:pStyle w:val="Standard"/>
        <w:spacing w:line="320" w:lineRule="exact"/>
        <w:ind w:firstLine="283"/>
        <w:jc w:val="both"/>
        <w:rPr>
          <w:rFonts w:ascii="標楷體" w:eastAsia="標楷體" w:hAnsi="標楷體" w:cs="標楷體"/>
          <w:spacing w:val="-4"/>
          <w:sz w:val="28"/>
          <w:szCs w:val="28"/>
        </w:rPr>
      </w:pPr>
    </w:p>
    <w:p w14:paraId="79F2D14F" w14:textId="77777777" w:rsidR="00C138C8" w:rsidRDefault="009F63C1">
      <w:pPr>
        <w:pStyle w:val="Standard"/>
        <w:spacing w:line="320" w:lineRule="exact"/>
        <w:ind w:left="720" w:hanging="426"/>
        <w:jc w:val="both"/>
        <w:rPr>
          <w:rFonts w:ascii="標楷體" w:eastAsia="標楷體" w:hAnsi="標楷體" w:cs="標楷體"/>
          <w:spacing w:val="-4"/>
          <w:sz w:val="28"/>
          <w:szCs w:val="28"/>
        </w:rPr>
      </w:pPr>
      <w:r>
        <w:rPr>
          <w:rFonts w:ascii="標楷體" w:eastAsia="標楷體" w:hAnsi="標楷體" w:cs="標楷體"/>
          <w:spacing w:val="-4"/>
          <w:sz w:val="28"/>
          <w:szCs w:val="28"/>
        </w:rPr>
        <w:t>四、公開資料發布訊息</w:t>
      </w:r>
    </w:p>
    <w:p w14:paraId="7354AE3F" w14:textId="77777777" w:rsidR="00C138C8" w:rsidRDefault="009F63C1">
      <w:pPr>
        <w:pStyle w:val="Standard"/>
        <w:spacing w:line="320" w:lineRule="exact"/>
        <w:ind w:left="752" w:hanging="272"/>
        <w:jc w:val="both"/>
      </w:pPr>
      <w:r>
        <w:rPr>
          <w:rFonts w:ascii="標楷體" w:eastAsia="標楷體" w:hAnsi="標楷體" w:cs="標楷體"/>
          <w:spacing w:val="-4"/>
          <w:sz w:val="28"/>
          <w:szCs w:val="28"/>
        </w:rPr>
        <w:t>＊預告發布日期：次年</w:t>
      </w:r>
      <w:r>
        <w:rPr>
          <w:rFonts w:ascii="標楷體" w:eastAsia="標楷體" w:hAnsi="標楷體" w:cs="標楷體"/>
          <w:spacing w:val="-4"/>
          <w:sz w:val="28"/>
          <w:szCs w:val="28"/>
        </w:rPr>
        <w:t>2</w:t>
      </w:r>
      <w:r>
        <w:rPr>
          <w:rFonts w:ascii="標楷體" w:eastAsia="標楷體" w:hAnsi="標楷體" w:cs="標楷體"/>
          <w:spacing w:val="-4"/>
          <w:sz w:val="28"/>
          <w:szCs w:val="28"/>
        </w:rPr>
        <w:t>月底</w:t>
      </w:r>
      <w:r>
        <w:rPr>
          <w:rFonts w:ascii="標楷體" w:eastAsia="標楷體" w:hAnsi="標楷體" w:cs="標楷體"/>
          <w:spacing w:val="-4"/>
          <w:sz w:val="28"/>
          <w:szCs w:val="28"/>
        </w:rPr>
        <w:t>(</w:t>
      </w:r>
      <w:r>
        <w:rPr>
          <w:rFonts w:ascii="標楷體" w:eastAsia="標楷體" w:hAnsi="標楷體" w:cs="標楷體"/>
          <w:spacing w:val="-4"/>
          <w:sz w:val="28"/>
          <w:szCs w:val="28"/>
        </w:rPr>
        <w:t>原訂預告發布日期如遇例假日或國定假日則延至下一個工作日發布</w:t>
      </w:r>
      <w:r>
        <w:rPr>
          <w:rFonts w:ascii="標楷體" w:eastAsia="標楷體" w:hAnsi="標楷體" w:cs="標楷體"/>
          <w:spacing w:val="-4"/>
          <w:sz w:val="28"/>
          <w:szCs w:val="28"/>
        </w:rPr>
        <w:t>)</w:t>
      </w:r>
      <w:r>
        <w:rPr>
          <w:rFonts w:ascii="標楷體" w:eastAsia="標楷體" w:hAnsi="標楷體" w:cs="標楷體"/>
          <w:spacing w:val="-4"/>
          <w:sz w:val="28"/>
          <w:szCs w:val="28"/>
        </w:rPr>
        <w:t>。</w:t>
      </w:r>
    </w:p>
    <w:p w14:paraId="12AD8C1E" w14:textId="77777777" w:rsidR="00C138C8" w:rsidRDefault="009F63C1">
      <w:pPr>
        <w:pStyle w:val="Standard"/>
        <w:spacing w:line="320" w:lineRule="exact"/>
        <w:ind w:left="120" w:firstLine="408"/>
        <w:jc w:val="both"/>
      </w:pPr>
      <w:r>
        <w:rPr>
          <w:rFonts w:ascii="標楷體" w:eastAsia="標楷體" w:hAnsi="標楷體" w:cs="標楷體"/>
          <w:spacing w:val="-4"/>
          <w:sz w:val="28"/>
          <w:szCs w:val="28"/>
        </w:rPr>
        <w:t>＊同步發送單位：臺中市政府主計處。</w:t>
      </w:r>
    </w:p>
    <w:p w14:paraId="26E51DA9" w14:textId="77777777" w:rsidR="00C138C8" w:rsidRDefault="00C138C8">
      <w:pPr>
        <w:pStyle w:val="Standard"/>
        <w:spacing w:line="320" w:lineRule="exact"/>
        <w:ind w:left="120" w:firstLine="408"/>
        <w:jc w:val="both"/>
        <w:rPr>
          <w:rFonts w:ascii="標楷體" w:eastAsia="標楷體" w:hAnsi="標楷體" w:cs="標楷體"/>
          <w:spacing w:val="-4"/>
          <w:sz w:val="28"/>
          <w:szCs w:val="28"/>
        </w:rPr>
      </w:pPr>
    </w:p>
    <w:p w14:paraId="3EAFB02A" w14:textId="77777777" w:rsidR="00C138C8" w:rsidRDefault="009F63C1">
      <w:pPr>
        <w:pStyle w:val="Standard"/>
        <w:spacing w:line="320" w:lineRule="exact"/>
        <w:ind w:left="720" w:hanging="426"/>
        <w:jc w:val="both"/>
        <w:rPr>
          <w:rFonts w:ascii="標楷體" w:eastAsia="標楷體" w:hAnsi="標楷體" w:cs="標楷體"/>
          <w:spacing w:val="-4"/>
          <w:sz w:val="28"/>
          <w:szCs w:val="28"/>
        </w:rPr>
      </w:pPr>
      <w:r>
        <w:rPr>
          <w:rFonts w:ascii="標楷體" w:eastAsia="標楷體" w:hAnsi="標楷體" w:cs="標楷體"/>
          <w:spacing w:val="-4"/>
          <w:sz w:val="28"/>
          <w:szCs w:val="28"/>
        </w:rPr>
        <w:t>五、資料品質</w:t>
      </w:r>
    </w:p>
    <w:p w14:paraId="750617F1" w14:textId="77777777" w:rsidR="00C138C8" w:rsidRDefault="009F63C1">
      <w:pPr>
        <w:pStyle w:val="Standard"/>
        <w:spacing w:line="320" w:lineRule="exact"/>
        <w:ind w:left="752" w:hanging="272"/>
        <w:jc w:val="both"/>
      </w:pPr>
      <w:r>
        <w:rPr>
          <w:rFonts w:ascii="標楷體" w:eastAsia="標楷體" w:hAnsi="標楷體" w:cs="標楷體"/>
          <w:spacing w:val="-4"/>
          <w:sz w:val="28"/>
          <w:szCs w:val="28"/>
        </w:rPr>
        <w:t>＊統計指標編製方法與資料來源說明：</w:t>
      </w:r>
      <w:r>
        <w:rPr>
          <w:rFonts w:ascii="標楷體" w:eastAsia="標楷體" w:hAnsi="標楷體"/>
          <w:sz w:val="28"/>
          <w:szCs w:val="28"/>
        </w:rPr>
        <w:t>依據本局農路改善及維護工程登記冊中相關工程資料及區公所造送資料彙編</w:t>
      </w:r>
      <w:r>
        <w:rPr>
          <w:rFonts w:ascii="標楷體" w:eastAsia="標楷體" w:hAnsi="標楷體" w:cs="標楷體"/>
          <w:spacing w:val="-4"/>
          <w:sz w:val="28"/>
          <w:szCs w:val="28"/>
        </w:rPr>
        <w:t>。</w:t>
      </w:r>
    </w:p>
    <w:p w14:paraId="05D16CD8" w14:textId="77777777" w:rsidR="00C138C8" w:rsidRDefault="009F63C1">
      <w:pPr>
        <w:pStyle w:val="Standard"/>
        <w:spacing w:line="320" w:lineRule="exact"/>
        <w:ind w:left="752" w:hanging="272"/>
        <w:jc w:val="both"/>
      </w:pPr>
      <w:r>
        <w:rPr>
          <w:rFonts w:ascii="標楷體" w:eastAsia="標楷體" w:hAnsi="標楷體" w:cs="標楷體"/>
          <w:spacing w:val="-4"/>
          <w:sz w:val="28"/>
          <w:szCs w:val="28"/>
        </w:rPr>
        <w:t>＊統計資料交叉查核及確保資料合理性之機制：業務單位、會計室、農業部農村發展及水土保持署臺中分署交叉查核確保資料合理性。</w:t>
      </w:r>
    </w:p>
    <w:p w14:paraId="4E494A59" w14:textId="77777777" w:rsidR="00C138C8" w:rsidRDefault="00C138C8">
      <w:pPr>
        <w:pStyle w:val="Standard"/>
        <w:spacing w:line="320" w:lineRule="exact"/>
        <w:ind w:left="752" w:hanging="272"/>
        <w:jc w:val="both"/>
        <w:rPr>
          <w:rFonts w:ascii="標楷體" w:eastAsia="標楷體" w:hAnsi="標楷體" w:cs="標楷體"/>
          <w:spacing w:val="-4"/>
          <w:sz w:val="28"/>
          <w:szCs w:val="28"/>
        </w:rPr>
      </w:pPr>
    </w:p>
    <w:p w14:paraId="6CB614CB" w14:textId="77777777" w:rsidR="00C138C8" w:rsidRDefault="009F63C1">
      <w:pPr>
        <w:pStyle w:val="Standard"/>
        <w:spacing w:line="320" w:lineRule="exact"/>
        <w:ind w:left="720" w:hanging="426"/>
        <w:jc w:val="both"/>
      </w:pPr>
      <w:r>
        <w:rPr>
          <w:rFonts w:ascii="標楷體" w:eastAsia="標楷體" w:hAnsi="標楷體" w:cs="標楷體"/>
          <w:spacing w:val="-4"/>
          <w:sz w:val="28"/>
          <w:szCs w:val="28"/>
        </w:rPr>
        <w:t>六、須注意及預定改變之事項：表號</w:t>
      </w:r>
      <w:r>
        <w:rPr>
          <w:rFonts w:ascii="標楷體" w:eastAsia="標楷體" w:hAnsi="標楷體" w:cs="標楷體"/>
          <w:spacing w:val="-4"/>
          <w:sz w:val="28"/>
          <w:szCs w:val="28"/>
        </w:rPr>
        <w:t>20329-02-01-2</w:t>
      </w:r>
      <w:r>
        <w:rPr>
          <w:rFonts w:ascii="標楷體" w:eastAsia="標楷體" w:hAnsi="標楷體" w:cs="標楷體"/>
          <w:spacing w:val="-4"/>
          <w:sz w:val="28"/>
          <w:szCs w:val="28"/>
        </w:rPr>
        <w:t>。</w:t>
      </w:r>
    </w:p>
    <w:p w14:paraId="20488F22" w14:textId="77777777" w:rsidR="00C138C8" w:rsidRDefault="009F63C1">
      <w:pPr>
        <w:pStyle w:val="Standard"/>
        <w:spacing w:line="320" w:lineRule="exact"/>
        <w:ind w:left="720" w:hanging="426"/>
        <w:jc w:val="both"/>
        <w:rPr>
          <w:rFonts w:ascii="標楷體" w:eastAsia="標楷體" w:hAnsi="標楷體" w:cs="標楷體"/>
          <w:spacing w:val="-4"/>
          <w:sz w:val="28"/>
          <w:szCs w:val="28"/>
        </w:rPr>
      </w:pPr>
      <w:r>
        <w:rPr>
          <w:rFonts w:ascii="標楷體" w:eastAsia="標楷體" w:hAnsi="標楷體" w:cs="標楷體"/>
          <w:spacing w:val="-4"/>
          <w:sz w:val="28"/>
          <w:szCs w:val="28"/>
        </w:rPr>
        <w:t>七、其他事項：無。</w:t>
      </w:r>
    </w:p>
    <w:sectPr w:rsidR="00C138C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AB78" w14:textId="77777777" w:rsidR="00000000" w:rsidRDefault="009F63C1">
      <w:pPr>
        <w:rPr>
          <w:rFonts w:hint="eastAsia"/>
        </w:rPr>
      </w:pPr>
      <w:r>
        <w:separator/>
      </w:r>
    </w:p>
  </w:endnote>
  <w:endnote w:type="continuationSeparator" w:id="0">
    <w:p w14:paraId="3D8250F5" w14:textId="77777777" w:rsidR="00000000" w:rsidRDefault="009F63C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entClock">
    <w:charset w:val="02"/>
    <w:family w:val="auto"/>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文鼎細楷, 細明體">
    <w:charset w:val="00"/>
    <w:family w:val="modern"/>
    <w:pitch w:val="default"/>
  </w:font>
  <w:font w:name="華康細明體, 'Arial Unicode MS'">
    <w:charset w:val="00"/>
    <w:family w:val="modern"/>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C7AC" w14:textId="77777777" w:rsidR="00000000" w:rsidRDefault="009F63C1">
      <w:pPr>
        <w:rPr>
          <w:rFonts w:hint="eastAsia"/>
        </w:rPr>
      </w:pPr>
      <w:r>
        <w:rPr>
          <w:color w:val="000000"/>
        </w:rPr>
        <w:separator/>
      </w:r>
    </w:p>
  </w:footnote>
  <w:footnote w:type="continuationSeparator" w:id="0">
    <w:p w14:paraId="740CB46C" w14:textId="77777777" w:rsidR="00000000" w:rsidRDefault="009F63C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2BC3"/>
    <w:multiLevelType w:val="multilevel"/>
    <w:tmpl w:val="197855B0"/>
    <w:styleLink w:val="WW8Num5"/>
    <w:lvl w:ilvl="0">
      <w:numFmt w:val="bullet"/>
      <w:lvlText w:val="＊"/>
      <w:lvlJc w:val="left"/>
      <w:pPr>
        <w:ind w:left="1059" w:hanging="480"/>
      </w:pPr>
      <w:rPr>
        <w:rFonts w:ascii="標楷體" w:eastAsia="標楷體" w:hAnsi="標楷體" w:cs="Times New Roman"/>
      </w:rPr>
    </w:lvl>
    <w:lvl w:ilvl="1">
      <w:numFmt w:val="bullet"/>
      <w:lvlText w:val=""/>
      <w:lvlJc w:val="left"/>
      <w:pPr>
        <w:ind w:left="1539" w:hanging="480"/>
      </w:pPr>
      <w:rPr>
        <w:rFonts w:ascii="Wingdings" w:hAnsi="Wingdings" w:cs="Wingdings"/>
      </w:rPr>
    </w:lvl>
    <w:lvl w:ilvl="2">
      <w:numFmt w:val="bullet"/>
      <w:lvlText w:val=""/>
      <w:lvlJc w:val="left"/>
      <w:pPr>
        <w:ind w:left="2019" w:hanging="480"/>
      </w:pPr>
      <w:rPr>
        <w:rFonts w:ascii="Wingdings" w:hAnsi="Wingdings" w:cs="Wingdings"/>
      </w:rPr>
    </w:lvl>
    <w:lvl w:ilvl="3">
      <w:numFmt w:val="bullet"/>
      <w:lvlText w:val=""/>
      <w:lvlJc w:val="left"/>
      <w:pPr>
        <w:ind w:left="2499" w:hanging="480"/>
      </w:pPr>
      <w:rPr>
        <w:rFonts w:ascii="Wingdings" w:hAnsi="Wingdings" w:cs="Wingdings"/>
      </w:rPr>
    </w:lvl>
    <w:lvl w:ilvl="4">
      <w:numFmt w:val="bullet"/>
      <w:lvlText w:val=""/>
      <w:lvlJc w:val="left"/>
      <w:pPr>
        <w:ind w:left="2979" w:hanging="480"/>
      </w:pPr>
      <w:rPr>
        <w:rFonts w:ascii="Wingdings" w:hAnsi="Wingdings" w:cs="Wingdings"/>
      </w:rPr>
    </w:lvl>
    <w:lvl w:ilvl="5">
      <w:numFmt w:val="bullet"/>
      <w:lvlText w:val=""/>
      <w:lvlJc w:val="left"/>
      <w:pPr>
        <w:ind w:left="3459" w:hanging="480"/>
      </w:pPr>
      <w:rPr>
        <w:rFonts w:ascii="Wingdings" w:hAnsi="Wingdings" w:cs="Wingdings"/>
      </w:rPr>
    </w:lvl>
    <w:lvl w:ilvl="6">
      <w:numFmt w:val="bullet"/>
      <w:lvlText w:val=""/>
      <w:lvlJc w:val="left"/>
      <w:pPr>
        <w:ind w:left="3939" w:hanging="480"/>
      </w:pPr>
      <w:rPr>
        <w:rFonts w:ascii="Wingdings" w:hAnsi="Wingdings" w:cs="Wingdings"/>
      </w:rPr>
    </w:lvl>
    <w:lvl w:ilvl="7">
      <w:numFmt w:val="bullet"/>
      <w:lvlText w:val=""/>
      <w:lvlJc w:val="left"/>
      <w:pPr>
        <w:ind w:left="4419" w:hanging="480"/>
      </w:pPr>
      <w:rPr>
        <w:rFonts w:ascii="Wingdings" w:hAnsi="Wingdings" w:cs="Wingdings"/>
      </w:rPr>
    </w:lvl>
    <w:lvl w:ilvl="8">
      <w:numFmt w:val="bullet"/>
      <w:lvlText w:val=""/>
      <w:lvlJc w:val="left"/>
      <w:pPr>
        <w:ind w:left="4899" w:hanging="480"/>
      </w:pPr>
      <w:rPr>
        <w:rFonts w:ascii="Wingdings" w:hAnsi="Wingdings" w:cs="Wingdings"/>
      </w:rPr>
    </w:lvl>
  </w:abstractNum>
  <w:abstractNum w:abstractNumId="1" w15:restartNumberingAfterBreak="0">
    <w:nsid w:val="20A46B5C"/>
    <w:multiLevelType w:val="multilevel"/>
    <w:tmpl w:val="D0DE6162"/>
    <w:styleLink w:val="WW8Num3"/>
    <w:lvl w:ilvl="0">
      <w:numFmt w:val="bullet"/>
      <w:lvlText w:val="＊"/>
      <w:lvlJc w:val="left"/>
      <w:pPr>
        <w:ind w:left="774" w:hanging="480"/>
      </w:pPr>
      <w:rPr>
        <w:rFonts w:ascii="標楷體" w:eastAsia="標楷體" w:hAnsi="標楷體" w:cs="Times New Roman"/>
      </w:rPr>
    </w:lvl>
    <w:lvl w:ilvl="1">
      <w:numFmt w:val="bullet"/>
      <w:lvlText w:val=""/>
      <w:lvlJc w:val="left"/>
      <w:pPr>
        <w:ind w:left="1254" w:hanging="480"/>
      </w:pPr>
      <w:rPr>
        <w:rFonts w:ascii="AncientClock" w:hAnsi="AncientClock" w:cs="AncientClock"/>
      </w:rPr>
    </w:lvl>
    <w:lvl w:ilvl="2">
      <w:numFmt w:val="bullet"/>
      <w:lvlText w:val=""/>
      <w:lvlJc w:val="left"/>
      <w:pPr>
        <w:ind w:left="1734" w:hanging="480"/>
      </w:pPr>
      <w:rPr>
        <w:rFonts w:ascii="AncientClock" w:hAnsi="AncientClock" w:cs="AncientClock"/>
      </w:rPr>
    </w:lvl>
    <w:lvl w:ilvl="3">
      <w:numFmt w:val="bullet"/>
      <w:lvlText w:val=""/>
      <w:lvlJc w:val="left"/>
      <w:pPr>
        <w:ind w:left="2214" w:hanging="480"/>
      </w:pPr>
      <w:rPr>
        <w:rFonts w:ascii="AncientClock" w:hAnsi="AncientClock" w:cs="AncientClock"/>
      </w:rPr>
    </w:lvl>
    <w:lvl w:ilvl="4">
      <w:numFmt w:val="bullet"/>
      <w:lvlText w:val=""/>
      <w:lvlJc w:val="left"/>
      <w:pPr>
        <w:ind w:left="2694" w:hanging="480"/>
      </w:pPr>
      <w:rPr>
        <w:rFonts w:ascii="AncientClock" w:hAnsi="AncientClock" w:cs="AncientClock"/>
      </w:rPr>
    </w:lvl>
    <w:lvl w:ilvl="5">
      <w:numFmt w:val="bullet"/>
      <w:lvlText w:val=""/>
      <w:lvlJc w:val="left"/>
      <w:pPr>
        <w:ind w:left="3174" w:hanging="480"/>
      </w:pPr>
      <w:rPr>
        <w:rFonts w:ascii="AncientClock" w:hAnsi="AncientClock" w:cs="AncientClock"/>
      </w:rPr>
    </w:lvl>
    <w:lvl w:ilvl="6">
      <w:numFmt w:val="bullet"/>
      <w:lvlText w:val=""/>
      <w:lvlJc w:val="left"/>
      <w:pPr>
        <w:ind w:left="3654" w:hanging="480"/>
      </w:pPr>
      <w:rPr>
        <w:rFonts w:ascii="AncientClock" w:hAnsi="AncientClock" w:cs="AncientClock"/>
      </w:rPr>
    </w:lvl>
    <w:lvl w:ilvl="7">
      <w:numFmt w:val="bullet"/>
      <w:lvlText w:val=""/>
      <w:lvlJc w:val="left"/>
      <w:pPr>
        <w:ind w:left="4134" w:hanging="480"/>
      </w:pPr>
      <w:rPr>
        <w:rFonts w:ascii="AncientClock" w:hAnsi="AncientClock" w:cs="AncientClock"/>
      </w:rPr>
    </w:lvl>
    <w:lvl w:ilvl="8">
      <w:numFmt w:val="bullet"/>
      <w:lvlText w:val=""/>
      <w:lvlJc w:val="left"/>
      <w:pPr>
        <w:ind w:left="4614" w:hanging="480"/>
      </w:pPr>
      <w:rPr>
        <w:rFonts w:ascii="AncientClock" w:hAnsi="AncientClock" w:cs="AncientClock"/>
      </w:rPr>
    </w:lvl>
  </w:abstractNum>
  <w:abstractNum w:abstractNumId="2" w15:restartNumberingAfterBreak="0">
    <w:nsid w:val="217362D8"/>
    <w:multiLevelType w:val="multilevel"/>
    <w:tmpl w:val="9FD8CE08"/>
    <w:styleLink w:val="WW8Num8"/>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391873"/>
    <w:multiLevelType w:val="multilevel"/>
    <w:tmpl w:val="6486C54E"/>
    <w:styleLink w:val="WW8Num10"/>
    <w:lvl w:ilvl="0">
      <w:start w:val="1"/>
      <w:numFmt w:val="japaneseCounting"/>
      <w:lvlText w:val="（%1）"/>
      <w:lvlJc w:val="left"/>
      <w:pPr>
        <w:ind w:left="780" w:hanging="7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5C87B32"/>
    <w:multiLevelType w:val="multilevel"/>
    <w:tmpl w:val="010EED30"/>
    <w:styleLink w:val="WW8Num4"/>
    <w:lvl w:ilvl="0">
      <w:numFmt w:val="bullet"/>
      <w:lvlText w:val="＊"/>
      <w:lvlJc w:val="left"/>
      <w:pPr>
        <w:ind w:left="600" w:hanging="480"/>
      </w:pPr>
      <w:rPr>
        <w:rFonts w:ascii="標楷體" w:eastAsia="標楷體" w:hAnsi="標楷體" w:cs="Times New Roman"/>
      </w:rPr>
    </w:lvl>
    <w:lvl w:ilvl="1">
      <w:numFmt w:val="bullet"/>
      <w:lvlText w:val=""/>
      <w:lvlJc w:val="left"/>
      <w:pPr>
        <w:ind w:left="1080" w:hanging="480"/>
      </w:pPr>
      <w:rPr>
        <w:rFonts w:ascii="AncientClock" w:hAnsi="AncientClock" w:cs="AncientClock"/>
      </w:rPr>
    </w:lvl>
    <w:lvl w:ilvl="2">
      <w:numFmt w:val="bullet"/>
      <w:lvlText w:val=""/>
      <w:lvlJc w:val="left"/>
      <w:pPr>
        <w:ind w:left="1560" w:hanging="480"/>
      </w:pPr>
      <w:rPr>
        <w:rFonts w:ascii="AncientClock" w:hAnsi="AncientClock" w:cs="AncientClock"/>
      </w:rPr>
    </w:lvl>
    <w:lvl w:ilvl="3">
      <w:numFmt w:val="bullet"/>
      <w:lvlText w:val=""/>
      <w:lvlJc w:val="left"/>
      <w:pPr>
        <w:ind w:left="2040" w:hanging="480"/>
      </w:pPr>
      <w:rPr>
        <w:rFonts w:ascii="AncientClock" w:hAnsi="AncientClock" w:cs="AncientClock"/>
      </w:rPr>
    </w:lvl>
    <w:lvl w:ilvl="4">
      <w:numFmt w:val="bullet"/>
      <w:lvlText w:val=""/>
      <w:lvlJc w:val="left"/>
      <w:pPr>
        <w:ind w:left="2520" w:hanging="480"/>
      </w:pPr>
      <w:rPr>
        <w:rFonts w:ascii="AncientClock" w:hAnsi="AncientClock" w:cs="AncientClock"/>
      </w:rPr>
    </w:lvl>
    <w:lvl w:ilvl="5">
      <w:numFmt w:val="bullet"/>
      <w:lvlText w:val=""/>
      <w:lvlJc w:val="left"/>
      <w:pPr>
        <w:ind w:left="3000" w:hanging="480"/>
      </w:pPr>
      <w:rPr>
        <w:rFonts w:ascii="AncientClock" w:hAnsi="AncientClock" w:cs="AncientClock"/>
      </w:rPr>
    </w:lvl>
    <w:lvl w:ilvl="6">
      <w:numFmt w:val="bullet"/>
      <w:lvlText w:val=""/>
      <w:lvlJc w:val="left"/>
      <w:pPr>
        <w:ind w:left="3480" w:hanging="480"/>
      </w:pPr>
      <w:rPr>
        <w:rFonts w:ascii="AncientClock" w:hAnsi="AncientClock" w:cs="AncientClock"/>
      </w:rPr>
    </w:lvl>
    <w:lvl w:ilvl="7">
      <w:numFmt w:val="bullet"/>
      <w:lvlText w:val=""/>
      <w:lvlJc w:val="left"/>
      <w:pPr>
        <w:ind w:left="3960" w:hanging="480"/>
      </w:pPr>
      <w:rPr>
        <w:rFonts w:ascii="AncientClock" w:hAnsi="AncientClock" w:cs="AncientClock"/>
      </w:rPr>
    </w:lvl>
    <w:lvl w:ilvl="8">
      <w:numFmt w:val="bullet"/>
      <w:lvlText w:val=""/>
      <w:lvlJc w:val="left"/>
      <w:pPr>
        <w:ind w:left="4440" w:hanging="480"/>
      </w:pPr>
      <w:rPr>
        <w:rFonts w:ascii="AncientClock" w:hAnsi="AncientClock" w:cs="AncientClock"/>
      </w:rPr>
    </w:lvl>
  </w:abstractNum>
  <w:abstractNum w:abstractNumId="5" w15:restartNumberingAfterBreak="0">
    <w:nsid w:val="3EF57C92"/>
    <w:multiLevelType w:val="multilevel"/>
    <w:tmpl w:val="782A4CB6"/>
    <w:styleLink w:val="WW8Num6"/>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AncientClock" w:hAnsi="AncientClock" w:cs="AncientClock"/>
      </w:rPr>
    </w:lvl>
    <w:lvl w:ilvl="2">
      <w:numFmt w:val="bullet"/>
      <w:lvlText w:val=""/>
      <w:lvlJc w:val="left"/>
      <w:pPr>
        <w:ind w:left="1440" w:hanging="480"/>
      </w:pPr>
      <w:rPr>
        <w:rFonts w:ascii="AncientClock" w:hAnsi="AncientClock" w:cs="AncientClock"/>
      </w:rPr>
    </w:lvl>
    <w:lvl w:ilvl="3">
      <w:numFmt w:val="bullet"/>
      <w:lvlText w:val=""/>
      <w:lvlJc w:val="left"/>
      <w:pPr>
        <w:ind w:left="1920" w:hanging="480"/>
      </w:pPr>
      <w:rPr>
        <w:rFonts w:ascii="AncientClock" w:hAnsi="AncientClock" w:cs="AncientClock"/>
      </w:rPr>
    </w:lvl>
    <w:lvl w:ilvl="4">
      <w:numFmt w:val="bullet"/>
      <w:lvlText w:val=""/>
      <w:lvlJc w:val="left"/>
      <w:pPr>
        <w:ind w:left="2400" w:hanging="480"/>
      </w:pPr>
      <w:rPr>
        <w:rFonts w:ascii="AncientClock" w:hAnsi="AncientClock" w:cs="AncientClock"/>
      </w:rPr>
    </w:lvl>
    <w:lvl w:ilvl="5">
      <w:numFmt w:val="bullet"/>
      <w:lvlText w:val=""/>
      <w:lvlJc w:val="left"/>
      <w:pPr>
        <w:ind w:left="2880" w:hanging="480"/>
      </w:pPr>
      <w:rPr>
        <w:rFonts w:ascii="AncientClock" w:hAnsi="AncientClock" w:cs="AncientClock"/>
      </w:rPr>
    </w:lvl>
    <w:lvl w:ilvl="6">
      <w:numFmt w:val="bullet"/>
      <w:lvlText w:val=""/>
      <w:lvlJc w:val="left"/>
      <w:pPr>
        <w:ind w:left="3360" w:hanging="480"/>
      </w:pPr>
      <w:rPr>
        <w:rFonts w:ascii="AncientClock" w:hAnsi="AncientClock" w:cs="AncientClock"/>
      </w:rPr>
    </w:lvl>
    <w:lvl w:ilvl="7">
      <w:numFmt w:val="bullet"/>
      <w:lvlText w:val=""/>
      <w:lvlJc w:val="left"/>
      <w:pPr>
        <w:ind w:left="3840" w:hanging="480"/>
      </w:pPr>
      <w:rPr>
        <w:rFonts w:ascii="AncientClock" w:hAnsi="AncientClock" w:cs="AncientClock"/>
      </w:rPr>
    </w:lvl>
    <w:lvl w:ilvl="8">
      <w:numFmt w:val="bullet"/>
      <w:lvlText w:val=""/>
      <w:lvlJc w:val="left"/>
      <w:pPr>
        <w:ind w:left="4320" w:hanging="480"/>
      </w:pPr>
      <w:rPr>
        <w:rFonts w:ascii="AncientClock" w:hAnsi="AncientClock" w:cs="AncientClock"/>
      </w:rPr>
    </w:lvl>
  </w:abstractNum>
  <w:abstractNum w:abstractNumId="6" w15:restartNumberingAfterBreak="0">
    <w:nsid w:val="48EF2CFC"/>
    <w:multiLevelType w:val="multilevel"/>
    <w:tmpl w:val="D0BC3902"/>
    <w:styleLink w:val="WW8Num2"/>
    <w:lvl w:ilvl="0">
      <w:numFmt w:val="bullet"/>
      <w:lvlText w:val="＊"/>
      <w:lvlJc w:val="left"/>
      <w:pPr>
        <w:ind w:left="960" w:hanging="480"/>
      </w:pPr>
      <w:rPr>
        <w:rFonts w:ascii="標楷體" w:eastAsia="標楷體" w:hAnsi="標楷體" w:cs="Times New Roman"/>
      </w:rPr>
    </w:lvl>
    <w:lvl w:ilvl="1">
      <w:numFmt w:val="bullet"/>
      <w:lvlText w:val=""/>
      <w:lvlJc w:val="left"/>
      <w:pPr>
        <w:ind w:left="1440" w:hanging="480"/>
      </w:pPr>
      <w:rPr>
        <w:rFonts w:ascii="AncientClock" w:hAnsi="AncientClock" w:cs="AncientClock"/>
      </w:rPr>
    </w:lvl>
    <w:lvl w:ilvl="2">
      <w:numFmt w:val="bullet"/>
      <w:lvlText w:val=""/>
      <w:lvlJc w:val="left"/>
      <w:pPr>
        <w:ind w:left="1920" w:hanging="480"/>
      </w:pPr>
      <w:rPr>
        <w:rFonts w:ascii="AncientClock" w:hAnsi="AncientClock" w:cs="AncientClock"/>
      </w:rPr>
    </w:lvl>
    <w:lvl w:ilvl="3">
      <w:numFmt w:val="bullet"/>
      <w:lvlText w:val=""/>
      <w:lvlJc w:val="left"/>
      <w:pPr>
        <w:ind w:left="2400" w:hanging="480"/>
      </w:pPr>
      <w:rPr>
        <w:rFonts w:ascii="AncientClock" w:hAnsi="AncientClock" w:cs="AncientClock"/>
      </w:rPr>
    </w:lvl>
    <w:lvl w:ilvl="4">
      <w:numFmt w:val="bullet"/>
      <w:lvlText w:val=""/>
      <w:lvlJc w:val="left"/>
      <w:pPr>
        <w:ind w:left="2880" w:hanging="480"/>
      </w:pPr>
      <w:rPr>
        <w:rFonts w:ascii="AncientClock" w:hAnsi="AncientClock" w:cs="AncientClock"/>
      </w:rPr>
    </w:lvl>
    <w:lvl w:ilvl="5">
      <w:numFmt w:val="bullet"/>
      <w:lvlText w:val=""/>
      <w:lvlJc w:val="left"/>
      <w:pPr>
        <w:ind w:left="3360" w:hanging="480"/>
      </w:pPr>
      <w:rPr>
        <w:rFonts w:ascii="AncientClock" w:hAnsi="AncientClock" w:cs="AncientClock"/>
      </w:rPr>
    </w:lvl>
    <w:lvl w:ilvl="6">
      <w:numFmt w:val="bullet"/>
      <w:lvlText w:val=""/>
      <w:lvlJc w:val="left"/>
      <w:pPr>
        <w:ind w:left="3840" w:hanging="480"/>
      </w:pPr>
      <w:rPr>
        <w:rFonts w:ascii="AncientClock" w:hAnsi="AncientClock" w:cs="AncientClock"/>
      </w:rPr>
    </w:lvl>
    <w:lvl w:ilvl="7">
      <w:numFmt w:val="bullet"/>
      <w:lvlText w:val=""/>
      <w:lvlJc w:val="left"/>
      <w:pPr>
        <w:ind w:left="4320" w:hanging="480"/>
      </w:pPr>
      <w:rPr>
        <w:rFonts w:ascii="AncientClock" w:hAnsi="AncientClock" w:cs="AncientClock"/>
      </w:rPr>
    </w:lvl>
    <w:lvl w:ilvl="8">
      <w:numFmt w:val="bullet"/>
      <w:lvlText w:val=""/>
      <w:lvlJc w:val="left"/>
      <w:pPr>
        <w:ind w:left="4800" w:hanging="480"/>
      </w:pPr>
      <w:rPr>
        <w:rFonts w:ascii="AncientClock" w:hAnsi="AncientClock" w:cs="AncientClock"/>
      </w:rPr>
    </w:lvl>
  </w:abstractNum>
  <w:abstractNum w:abstractNumId="7" w15:restartNumberingAfterBreak="0">
    <w:nsid w:val="67A27370"/>
    <w:multiLevelType w:val="multilevel"/>
    <w:tmpl w:val="DA98AFC6"/>
    <w:styleLink w:val="WW8Num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98A2A3F"/>
    <w:multiLevelType w:val="multilevel"/>
    <w:tmpl w:val="C546802E"/>
    <w:styleLink w:val="WW8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7E54D1B"/>
    <w:multiLevelType w:val="multilevel"/>
    <w:tmpl w:val="A48E5688"/>
    <w:styleLink w:val="WW8Num9"/>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43616789">
    <w:abstractNumId w:val="8"/>
  </w:num>
  <w:num w:numId="2" w16cid:durableId="880753264">
    <w:abstractNumId w:val="6"/>
  </w:num>
  <w:num w:numId="3" w16cid:durableId="1125468686">
    <w:abstractNumId w:val="1"/>
  </w:num>
  <w:num w:numId="4" w16cid:durableId="106972651">
    <w:abstractNumId w:val="4"/>
  </w:num>
  <w:num w:numId="5" w16cid:durableId="1298145807">
    <w:abstractNumId w:val="0"/>
  </w:num>
  <w:num w:numId="6" w16cid:durableId="901721149">
    <w:abstractNumId w:val="5"/>
  </w:num>
  <w:num w:numId="7" w16cid:durableId="1698967932">
    <w:abstractNumId w:val="7"/>
  </w:num>
  <w:num w:numId="8" w16cid:durableId="1418134457">
    <w:abstractNumId w:val="2"/>
  </w:num>
  <w:num w:numId="9" w16cid:durableId="378894464">
    <w:abstractNumId w:val="9"/>
  </w:num>
  <w:num w:numId="10" w16cid:durableId="1882015623">
    <w:abstractNumId w:val="3"/>
  </w:num>
  <w:num w:numId="11" w16cid:durableId="1965385454">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138C8"/>
    <w:rsid w:val="009F63C1"/>
    <w:rsid w:val="00C138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852D2"/>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rPr>
  </w:style>
  <w:style w:type="paragraph" w:customStyle="1" w:styleId="Index">
    <w:name w:val="Index"/>
    <w:basedOn w:val="Standard"/>
    <w:pPr>
      <w:suppressLineNumbers/>
    </w:pPr>
    <w:rPr>
      <w:rFonts w:cs="思源黑體 TW"/>
    </w:rPr>
  </w:style>
  <w:style w:type="paragraph" w:styleId="a5">
    <w:name w:val="Plain Text"/>
    <w:basedOn w:val="Standard"/>
    <w:rPr>
      <w:rFonts w:ascii="細明體, MingLiU" w:eastAsia="細明體, MingLiU" w:hAnsi="細明體, MingLiU" w:cs="Courier New"/>
      <w:szCs w:val="20"/>
    </w:rPr>
  </w:style>
  <w:style w:type="paragraph" w:customStyle="1" w:styleId="Text">
    <w:name w:val="Text"/>
    <w:basedOn w:val="Standard"/>
    <w:next w:val="Standard"/>
    <w:pPr>
      <w:pageBreakBefore/>
      <w:spacing w:line="240" w:lineRule="atLeast"/>
      <w:jc w:val="both"/>
    </w:pPr>
    <w:rPr>
      <w:rFonts w:eastAsia="文鼎細楷, 細明體"/>
      <w:kern w:val="0"/>
      <w:szCs w:val="20"/>
    </w:rPr>
  </w:style>
  <w:style w:type="paragraph" w:styleId="2">
    <w:name w:val="Body Text Indent 2"/>
    <w:basedOn w:val="Standard"/>
    <w:pPr>
      <w:spacing w:line="400" w:lineRule="exact"/>
      <w:ind w:left="616" w:hanging="294"/>
      <w:jc w:val="both"/>
    </w:pPr>
    <w:rPr>
      <w:rFonts w:ascii="標楷體" w:eastAsia="標楷體" w:hAnsi="標楷體" w:cs="標楷體"/>
      <w:kern w:val="0"/>
      <w:sz w:val="28"/>
      <w:szCs w:val="20"/>
    </w:rPr>
  </w:style>
  <w:style w:type="paragraph" w:customStyle="1" w:styleId="141-2">
    <w:name w:val="內文#14+1-2"/>
    <w:basedOn w:val="Standard"/>
    <w:pPr>
      <w:tabs>
        <w:tab w:val="left" w:pos="1702"/>
      </w:tabs>
      <w:spacing w:line="720" w:lineRule="exact"/>
      <w:ind w:left="851" w:hanging="567"/>
      <w:jc w:val="both"/>
    </w:pPr>
    <w:rPr>
      <w:rFonts w:eastAsia="華康細明體, 'Arial Unicode MS'"/>
      <w:sz w:val="28"/>
      <w:szCs w:val="20"/>
    </w:r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rPr>
  </w:style>
  <w:style w:type="character" w:customStyle="1" w:styleId="WW8Num2z1">
    <w:name w:val="WW8Num2z1"/>
    <w:rPr>
      <w:rFonts w:ascii="AncientClock" w:eastAsia="AncientClock" w:hAnsi="AncientClock" w:cs="AncientClock"/>
    </w:rPr>
  </w:style>
  <w:style w:type="character" w:customStyle="1" w:styleId="WW8Num3z0">
    <w:name w:val="WW8Num3z0"/>
    <w:rPr>
      <w:rFonts w:ascii="標楷體" w:eastAsia="標楷體" w:hAnsi="標楷體" w:cs="Times New Roman"/>
    </w:rPr>
  </w:style>
  <w:style w:type="character" w:customStyle="1" w:styleId="WW8Num3z1">
    <w:name w:val="WW8Num3z1"/>
    <w:rPr>
      <w:rFonts w:ascii="AncientClock" w:eastAsia="AncientClock" w:hAnsi="AncientClock" w:cs="AncientClock"/>
    </w:rPr>
  </w:style>
  <w:style w:type="character" w:customStyle="1" w:styleId="WW8Num4z0">
    <w:name w:val="WW8Num4z0"/>
    <w:rPr>
      <w:rFonts w:ascii="標楷體" w:eastAsia="標楷體" w:hAnsi="標楷體" w:cs="Times New Roman"/>
    </w:rPr>
  </w:style>
  <w:style w:type="character" w:customStyle="1" w:styleId="WW8Num4z1">
    <w:name w:val="WW8Num4z1"/>
    <w:rPr>
      <w:rFonts w:ascii="AncientClock" w:eastAsia="AncientClock" w:hAnsi="AncientClock" w:cs="AncientClock"/>
    </w:rPr>
  </w:style>
  <w:style w:type="character" w:customStyle="1" w:styleId="WW8Num5z0">
    <w:name w:val="WW8Num5z0"/>
    <w:rPr>
      <w:rFonts w:ascii="標楷體" w:eastAsia="標楷體" w:hAnsi="標楷體" w:cs="Times New Roman"/>
    </w:rPr>
  </w:style>
  <w:style w:type="character" w:customStyle="1" w:styleId="WW8Num5z1">
    <w:name w:val="WW8Num5z1"/>
    <w:rPr>
      <w:rFonts w:ascii="Wingdings" w:eastAsia="Wingdings" w:hAnsi="Wingdings" w:cs="Wingdings"/>
    </w:rPr>
  </w:style>
  <w:style w:type="character" w:customStyle="1" w:styleId="WW8Num6z0">
    <w:name w:val="WW8Num6z0"/>
    <w:rPr>
      <w:rFonts w:ascii="標楷體" w:eastAsia="標楷體" w:hAnsi="標楷體" w:cs="Times New Roman"/>
    </w:rPr>
  </w:style>
  <w:style w:type="character" w:customStyle="1" w:styleId="WW8Num6z1">
    <w:name w:val="WW8Num6z1"/>
    <w:rPr>
      <w:rFonts w:ascii="AncientClock" w:eastAsia="AncientClock" w:hAnsi="AncientClock" w:cs="AncientClock"/>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Times New Roman"/>
    </w:rPr>
  </w:style>
  <w:style w:type="character" w:customStyle="1" w:styleId="WW8Num9z0">
    <w:name w:val="WW8Num9z0"/>
    <w:rPr>
      <w:rFonts w:ascii="標楷體" w:eastAsia="標楷體" w:hAnsi="標楷體" w:cs="Times New Roman"/>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Internetlink">
    <w:name w:val="Internet link"/>
    <w:rPr>
      <w:strike w:val="0"/>
      <w:dstrike w:val="0"/>
      <w:color w:val="444444"/>
      <w:u w:val="none"/>
    </w:rPr>
  </w:style>
  <w:style w:type="character" w:customStyle="1" w:styleId="a8">
    <w:name w:val="頁首 字元"/>
    <w:rPr>
      <w:kern w:val="3"/>
    </w:rPr>
  </w:style>
  <w:style w:type="character" w:customStyle="1" w:styleId="a9">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40115@taichung.gov.tw" TargetMode="External"/><Relationship Id="rId3" Type="http://schemas.openxmlformats.org/officeDocument/2006/relationships/settings" Target="settings.xml"/><Relationship Id="rId7" Type="http://schemas.openxmlformats.org/officeDocument/2006/relationships/hyperlink" Target="mailto:40115@taichung.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40115@taichung.gov.tw" TargetMode="External"/><Relationship Id="rId4" Type="http://schemas.openxmlformats.org/officeDocument/2006/relationships/webSettings" Target="webSettings.xml"/><Relationship Id="rId9" Type="http://schemas.openxmlformats.org/officeDocument/2006/relationships/hyperlink" Target="mailto:40115@taichung.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USER</dc:creator>
  <cp:keywords/>
  <cp:lastModifiedBy>cws</cp:lastModifiedBy>
  <cp:revision>2</cp:revision>
  <dcterms:created xsi:type="dcterms:W3CDTF">2025-02-13T02:51:00Z</dcterms:created>
  <dcterms:modified xsi:type="dcterms:W3CDTF">2025-02-13T02:51:00Z</dcterms:modified>
</cp:coreProperties>
</file>