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7EF8" w14:textId="77777777" w:rsidR="002165EF" w:rsidRDefault="002165EF">
      <w:pPr>
        <w:pStyle w:val="Standard"/>
        <w:spacing w:line="360" w:lineRule="exact"/>
        <w:rPr>
          <w:rFonts w:ascii="標楷體" w:eastAsia="標楷體" w:hAnsi="標楷體" w:cs="標楷體"/>
          <w:spacing w:val="-4"/>
          <w:sz w:val="28"/>
          <w:szCs w:val="28"/>
        </w:rPr>
      </w:pPr>
    </w:p>
    <w:p w14:paraId="786DD58B" w14:textId="77777777" w:rsidR="002165EF" w:rsidRDefault="00022785">
      <w:pPr>
        <w:pStyle w:val="Standard"/>
        <w:spacing w:line="360" w:lineRule="exact"/>
        <w:jc w:val="center"/>
        <w:rPr>
          <w:rFonts w:ascii="標楷體" w:eastAsia="標楷體" w:hAnsi="標楷體" w:cs="標楷體"/>
          <w:spacing w:val="-4"/>
          <w:sz w:val="28"/>
          <w:szCs w:val="28"/>
        </w:rPr>
      </w:pPr>
      <w:r>
        <w:rPr>
          <w:rFonts w:ascii="標楷體" w:eastAsia="標楷體" w:hAnsi="標楷體" w:cs="標楷體"/>
          <w:spacing w:val="-4"/>
          <w:sz w:val="28"/>
          <w:szCs w:val="28"/>
        </w:rPr>
        <w:t>統計資料背景說明</w:t>
      </w:r>
    </w:p>
    <w:p w14:paraId="28A63374" w14:textId="77777777" w:rsidR="002165EF" w:rsidRDefault="00022785">
      <w:pPr>
        <w:pStyle w:val="Standard"/>
        <w:spacing w:line="360" w:lineRule="exact"/>
        <w:rPr>
          <w:rFonts w:ascii="標楷體" w:eastAsia="標楷體" w:hAnsi="標楷體" w:cs="標楷體"/>
          <w:sz w:val="28"/>
          <w:szCs w:val="28"/>
        </w:rPr>
      </w:pPr>
      <w:r>
        <w:rPr>
          <w:rFonts w:ascii="標楷體" w:eastAsia="標楷體" w:hAnsi="標楷體" w:cs="標楷體"/>
          <w:sz w:val="28"/>
          <w:szCs w:val="28"/>
        </w:rPr>
        <w:t>資料種類：天然災害統計</w:t>
      </w:r>
    </w:p>
    <w:p w14:paraId="0B10A9A8" w14:textId="77777777" w:rsidR="002165EF" w:rsidRDefault="00022785">
      <w:pPr>
        <w:pStyle w:val="Standard"/>
        <w:spacing w:line="360" w:lineRule="exact"/>
      </w:pPr>
      <w:r>
        <w:rPr>
          <w:rFonts w:ascii="標楷體" w:eastAsia="標楷體" w:hAnsi="標楷體" w:cs="標楷體"/>
          <w:sz w:val="28"/>
          <w:szCs w:val="28"/>
        </w:rPr>
        <w:t>資料項目：</w:t>
      </w:r>
      <w:r>
        <w:rPr>
          <w:rFonts w:ascii="標楷體" w:eastAsia="標楷體" w:hAnsi="標楷體" w:cs="標楷體"/>
          <w:spacing w:val="-4"/>
          <w:sz w:val="28"/>
          <w:szCs w:val="28"/>
        </w:rPr>
        <w:t>臺中市天然災害水土保持設施損失情形</w:t>
      </w:r>
    </w:p>
    <w:p w14:paraId="19495492" w14:textId="77777777" w:rsidR="002165EF" w:rsidRDefault="00022785">
      <w:pPr>
        <w:pStyle w:val="Standard"/>
        <w:spacing w:line="360" w:lineRule="exact"/>
        <w:rPr>
          <w:rFonts w:ascii="標楷體" w:eastAsia="標楷體" w:hAnsi="標楷體" w:cs="標楷體"/>
          <w:sz w:val="28"/>
          <w:szCs w:val="28"/>
        </w:rPr>
      </w:pPr>
      <w:r>
        <w:rPr>
          <w:rFonts w:ascii="標楷體" w:eastAsia="標楷體" w:hAnsi="標楷體" w:cs="標楷體"/>
          <w:sz w:val="28"/>
          <w:szCs w:val="28"/>
        </w:rPr>
        <w:t>發布及編製機關單位</w:t>
      </w:r>
    </w:p>
    <w:p w14:paraId="2D3E23E8" w14:textId="77777777" w:rsidR="002165EF" w:rsidRDefault="00022785">
      <w:pPr>
        <w:pStyle w:val="Standard"/>
        <w:spacing w:line="320" w:lineRule="exact"/>
        <w:ind w:left="720" w:hanging="426"/>
        <w:jc w:val="both"/>
      </w:pPr>
      <w:r>
        <w:rPr>
          <w:rFonts w:ascii="標楷體" w:eastAsia="標楷體" w:hAnsi="標楷體" w:cs="標楷體"/>
          <w:spacing w:val="-4"/>
          <w:sz w:val="28"/>
          <w:szCs w:val="28"/>
        </w:rPr>
        <w:t>＊發布機關：</w:t>
      </w:r>
      <w:r>
        <w:rPr>
          <w:rFonts w:ascii="標楷體" w:eastAsia="標楷體" w:hAnsi="標楷體" w:cs="標楷體"/>
          <w:sz w:val="28"/>
          <w:szCs w:val="28"/>
        </w:rPr>
        <w:t>臺中市政府水利局會計室</w:t>
      </w:r>
    </w:p>
    <w:p w14:paraId="43F43DF8" w14:textId="77777777" w:rsidR="002165EF" w:rsidRDefault="00022785">
      <w:pPr>
        <w:pStyle w:val="Standard"/>
        <w:spacing w:line="320" w:lineRule="exact"/>
        <w:ind w:left="720" w:hanging="426"/>
        <w:jc w:val="both"/>
      </w:pPr>
      <w:r>
        <w:rPr>
          <w:rFonts w:ascii="標楷體" w:eastAsia="標楷體" w:hAnsi="標楷體" w:cs="標楷體"/>
          <w:sz w:val="28"/>
          <w:szCs w:val="28"/>
        </w:rPr>
        <w:t>＊編製單位：臺中市政府水利局水土保持工程科</w:t>
      </w:r>
    </w:p>
    <w:p w14:paraId="0BFA1FE6" w14:textId="77777777" w:rsidR="002165EF" w:rsidRDefault="00022785">
      <w:pPr>
        <w:pStyle w:val="Standard"/>
        <w:spacing w:line="320" w:lineRule="exact"/>
        <w:ind w:left="720" w:hanging="426"/>
        <w:jc w:val="both"/>
      </w:pPr>
      <w:r>
        <w:rPr>
          <w:rFonts w:ascii="標楷體" w:eastAsia="標楷體" w:hAnsi="標楷體" w:cs="標楷體"/>
          <w:sz w:val="28"/>
          <w:szCs w:val="28"/>
        </w:rPr>
        <w:t>＊聯絡電話：</w:t>
      </w:r>
      <w:r>
        <w:rPr>
          <w:rFonts w:ascii="標楷體" w:eastAsia="標楷體" w:hAnsi="標楷體" w:cs="標楷體"/>
          <w:sz w:val="28"/>
          <w:szCs w:val="28"/>
        </w:rPr>
        <w:t>(04)2228-9111</w:t>
      </w:r>
      <w:r>
        <w:rPr>
          <w:rFonts w:ascii="標楷體" w:eastAsia="標楷體" w:hAnsi="標楷體" w:cs="標楷體"/>
          <w:sz w:val="28"/>
          <w:szCs w:val="28"/>
        </w:rPr>
        <w:t>轉</w:t>
      </w:r>
      <w:r>
        <w:rPr>
          <w:rFonts w:ascii="標楷體" w:eastAsia="標楷體" w:hAnsi="標楷體" w:cs="標楷體"/>
          <w:sz w:val="28"/>
          <w:szCs w:val="28"/>
        </w:rPr>
        <w:t>53611</w:t>
      </w:r>
    </w:p>
    <w:p w14:paraId="15A67500" w14:textId="77777777" w:rsidR="002165EF" w:rsidRDefault="00022785">
      <w:pPr>
        <w:pStyle w:val="Standard"/>
        <w:spacing w:line="320" w:lineRule="exact"/>
        <w:ind w:left="720" w:hanging="426"/>
        <w:jc w:val="both"/>
      </w:pPr>
      <w:r>
        <w:rPr>
          <w:rFonts w:ascii="標楷體" w:eastAsia="標楷體" w:hAnsi="標楷體" w:cs="標楷體"/>
          <w:sz w:val="28"/>
          <w:szCs w:val="28"/>
        </w:rPr>
        <w:t>＊</w:t>
      </w:r>
      <w:r>
        <w:rPr>
          <w:rFonts w:ascii="標楷體" w:eastAsia="標楷體" w:hAnsi="標楷體" w:cs="標楷體"/>
          <w:spacing w:val="-4"/>
          <w:sz w:val="28"/>
          <w:szCs w:val="28"/>
          <w:shd w:val="clear" w:color="auto" w:fill="FFFFFF"/>
        </w:rPr>
        <w:t>單位</w:t>
      </w:r>
      <w:r>
        <w:rPr>
          <w:rFonts w:ascii="標楷體" w:eastAsia="標楷體" w:hAnsi="標楷體" w:cs="標楷體"/>
          <w:sz w:val="28"/>
          <w:szCs w:val="28"/>
        </w:rPr>
        <w:t>電子信箱：</w:t>
      </w:r>
      <w:hyperlink r:id="rId7" w:history="1">
        <w:r>
          <w:rPr>
            <w:rStyle w:val="Internetlink"/>
            <w:rFonts w:ascii="標楷體" w:eastAsia="標楷體" w:hAnsi="標楷體" w:cs="標楷體"/>
            <w:color w:val="000000"/>
            <w:sz w:val="28"/>
            <w:szCs w:val="28"/>
          </w:rPr>
          <w:t>f40115@taichung.gov.tw</w:t>
        </w:r>
      </w:hyperlink>
    </w:p>
    <w:p w14:paraId="2DE34E8D" w14:textId="77777777" w:rsidR="002165EF" w:rsidRDefault="00022785">
      <w:pPr>
        <w:pStyle w:val="Standard"/>
        <w:spacing w:line="320" w:lineRule="exact"/>
        <w:ind w:left="540" w:hanging="540"/>
        <w:jc w:val="both"/>
        <w:rPr>
          <w:rFonts w:ascii="標楷體" w:eastAsia="標楷體" w:hAnsi="標楷體" w:cs="標楷體"/>
          <w:sz w:val="28"/>
          <w:szCs w:val="28"/>
        </w:rPr>
      </w:pPr>
      <w:r>
        <w:rPr>
          <w:rFonts w:ascii="標楷體" w:eastAsia="標楷體" w:hAnsi="標楷體" w:cs="標楷體"/>
          <w:sz w:val="28"/>
          <w:szCs w:val="28"/>
        </w:rPr>
        <w:t>二、發布形式</w:t>
      </w:r>
    </w:p>
    <w:p w14:paraId="044950FE" w14:textId="77777777" w:rsidR="002165EF" w:rsidRDefault="00022785">
      <w:pPr>
        <w:pStyle w:val="Standard"/>
        <w:numPr>
          <w:ilvl w:val="0"/>
          <w:numId w:val="7"/>
        </w:numPr>
        <w:spacing w:line="320" w:lineRule="exact"/>
        <w:jc w:val="both"/>
        <w:rPr>
          <w:rFonts w:ascii="標楷體" w:eastAsia="標楷體" w:hAnsi="標楷體"/>
          <w:sz w:val="28"/>
          <w:szCs w:val="28"/>
        </w:rPr>
      </w:pPr>
      <w:r>
        <w:rPr>
          <w:rFonts w:ascii="標楷體" w:eastAsia="標楷體" w:hAnsi="標楷體"/>
          <w:sz w:val="28"/>
          <w:szCs w:val="28"/>
        </w:rPr>
        <w:t>口頭：</w:t>
      </w:r>
    </w:p>
    <w:p w14:paraId="0BB4C49E" w14:textId="77777777" w:rsidR="002165EF" w:rsidRDefault="00022785">
      <w:pPr>
        <w:pStyle w:val="Standard"/>
        <w:spacing w:line="320" w:lineRule="exact"/>
        <w:ind w:left="616" w:hanging="616"/>
        <w:jc w:val="both"/>
      </w:pPr>
      <w:r>
        <w:rPr>
          <w:rFonts w:ascii="標楷體" w:eastAsia="標楷體" w:hAnsi="標楷體" w:cs="標楷體"/>
          <w:sz w:val="28"/>
          <w:szCs w:val="28"/>
        </w:rPr>
        <w:t xml:space="preserve">      </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）記者會或說明會</w:t>
      </w:r>
    </w:p>
    <w:p w14:paraId="30E7988C" w14:textId="77777777" w:rsidR="002165EF" w:rsidRDefault="00022785">
      <w:pPr>
        <w:pStyle w:val="Standard"/>
        <w:numPr>
          <w:ilvl w:val="0"/>
          <w:numId w:val="8"/>
        </w:numPr>
        <w:tabs>
          <w:tab w:val="left" w:pos="1158"/>
        </w:tabs>
        <w:spacing w:line="320" w:lineRule="exact"/>
        <w:ind w:left="579" w:hanging="285"/>
        <w:jc w:val="both"/>
        <w:rPr>
          <w:rFonts w:ascii="標楷體" w:eastAsia="標楷體" w:hAnsi="標楷體"/>
          <w:sz w:val="28"/>
          <w:szCs w:val="28"/>
        </w:rPr>
      </w:pPr>
      <w:r>
        <w:rPr>
          <w:rFonts w:ascii="標楷體" w:eastAsia="標楷體" w:hAnsi="標楷體"/>
          <w:sz w:val="28"/>
          <w:szCs w:val="28"/>
        </w:rPr>
        <w:t>書面：</w:t>
      </w:r>
    </w:p>
    <w:p w14:paraId="3FD400B6" w14:textId="77777777" w:rsidR="002165EF" w:rsidRDefault="00022785">
      <w:pPr>
        <w:pStyle w:val="Standard"/>
        <w:spacing w:line="320" w:lineRule="exact"/>
        <w:ind w:left="616" w:hanging="332"/>
        <w:jc w:val="both"/>
      </w:pPr>
      <w:r>
        <w:rPr>
          <w:rFonts w:ascii="標楷體" w:eastAsia="標楷體" w:hAnsi="標楷體" w:cs="標楷體"/>
          <w:sz w:val="28"/>
          <w:szCs w:val="28"/>
        </w:rPr>
        <w:t xml:space="preserve">   </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）新聞稿</w:t>
      </w:r>
      <w:r>
        <w:rPr>
          <w:rFonts w:ascii="標楷體" w:eastAsia="標楷體" w:hAnsi="標楷體"/>
          <w:sz w:val="28"/>
          <w:szCs w:val="28"/>
        </w:rPr>
        <w:t xml:space="preserve">   </w:t>
      </w:r>
      <w:r>
        <w:rPr>
          <w:rFonts w:ascii="標楷體" w:eastAsia="標楷體" w:hAnsi="標楷體"/>
          <w:sz w:val="28"/>
          <w:szCs w:val="28"/>
        </w:rPr>
        <w:t>（）報表</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）書刊，刊名：</w:t>
      </w:r>
    </w:p>
    <w:p w14:paraId="432C1564" w14:textId="77777777" w:rsidR="002165EF" w:rsidRDefault="00022785">
      <w:pPr>
        <w:pStyle w:val="Standard"/>
        <w:spacing w:line="320" w:lineRule="exact"/>
        <w:ind w:left="616" w:hanging="332"/>
        <w:jc w:val="both"/>
        <w:rPr>
          <w:rFonts w:ascii="標楷體" w:eastAsia="標楷體" w:hAnsi="標楷體"/>
          <w:sz w:val="28"/>
          <w:szCs w:val="28"/>
        </w:rPr>
      </w:pPr>
      <w:r>
        <w:rPr>
          <w:rFonts w:ascii="標楷體" w:eastAsia="標楷體" w:hAnsi="標楷體"/>
          <w:sz w:val="28"/>
          <w:szCs w:val="28"/>
        </w:rPr>
        <w:t>＊電子媒體：</w:t>
      </w:r>
    </w:p>
    <w:p w14:paraId="0D3D7DEA" w14:textId="77777777" w:rsidR="002165EF" w:rsidRDefault="00022785">
      <w:pPr>
        <w:pStyle w:val="Standard"/>
        <w:spacing w:line="320" w:lineRule="exact"/>
        <w:ind w:left="616" w:firstLine="9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）線上書刊及資料庫，網址：</w:t>
      </w:r>
    </w:p>
    <w:p w14:paraId="0B1432A8" w14:textId="77777777" w:rsidR="002165EF" w:rsidRDefault="00022785">
      <w:pPr>
        <w:pStyle w:val="Standard"/>
        <w:spacing w:line="320" w:lineRule="exact"/>
        <w:ind w:left="616" w:firstLine="93"/>
        <w:jc w:val="both"/>
      </w:pP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）磁片</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）光碟片</w:t>
      </w:r>
      <w:r>
        <w:rPr>
          <w:rFonts w:ascii="標楷體" w:eastAsia="標楷體" w:hAnsi="標楷體"/>
          <w:sz w:val="28"/>
          <w:szCs w:val="28"/>
        </w:rPr>
        <w:t xml:space="preserve">  </w:t>
      </w:r>
      <w:r>
        <w:rPr>
          <w:rFonts w:ascii="標楷體" w:eastAsia="標楷體" w:hAnsi="標楷體"/>
          <w:sz w:val="28"/>
          <w:szCs w:val="28"/>
        </w:rPr>
        <w:t>（</w:t>
      </w:r>
      <w:r>
        <w:rPr>
          <w:rFonts w:ascii="Wingdings" w:eastAsia="Wingdings" w:hAnsi="Wingdings" w:cs="Wingdings"/>
          <w:sz w:val="28"/>
          <w:szCs w:val="28"/>
        </w:rPr>
        <w:t></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報表</w:t>
      </w:r>
      <w:r>
        <w:rPr>
          <w:rFonts w:ascii="標楷體" w:eastAsia="標楷體" w:hAnsi="標楷體"/>
          <w:sz w:val="28"/>
          <w:szCs w:val="28"/>
        </w:rPr>
        <w:t>)</w:t>
      </w:r>
    </w:p>
    <w:p w14:paraId="20E816CC" w14:textId="77777777" w:rsidR="002165EF" w:rsidRDefault="00022785">
      <w:pPr>
        <w:pStyle w:val="Standard"/>
        <w:spacing w:before="240" w:line="320" w:lineRule="exact"/>
        <w:ind w:left="616" w:hanging="616"/>
        <w:jc w:val="both"/>
        <w:rPr>
          <w:rFonts w:ascii="標楷體" w:eastAsia="標楷體" w:hAnsi="標楷體" w:cs="標楷體"/>
          <w:sz w:val="28"/>
          <w:szCs w:val="28"/>
        </w:rPr>
      </w:pPr>
      <w:r>
        <w:rPr>
          <w:rFonts w:ascii="標楷體" w:eastAsia="標楷體" w:hAnsi="標楷體" w:cs="標楷體"/>
          <w:sz w:val="28"/>
          <w:szCs w:val="28"/>
        </w:rPr>
        <w:t>三、資料範圍、週期及時效</w:t>
      </w:r>
    </w:p>
    <w:p w14:paraId="02BF59B1" w14:textId="77777777" w:rsidR="002165EF" w:rsidRDefault="00022785">
      <w:pPr>
        <w:pStyle w:val="Standard"/>
        <w:spacing w:line="320" w:lineRule="exact"/>
        <w:ind w:firstLine="280"/>
        <w:jc w:val="both"/>
      </w:pPr>
      <w:r>
        <w:rPr>
          <w:rFonts w:ascii="標楷體" w:eastAsia="標楷體" w:hAnsi="標楷體" w:cs="標楷體"/>
          <w:sz w:val="28"/>
          <w:szCs w:val="28"/>
        </w:rPr>
        <w:t>＊統計地區範圍及對象：凡本市轄區內因天然災害所造成水土保持設</w:t>
      </w:r>
      <w:r>
        <w:rPr>
          <w:rFonts w:ascii="標楷體" w:eastAsia="標楷體" w:hAnsi="標楷體" w:cs="標楷體"/>
          <w:sz w:val="28"/>
          <w:szCs w:val="28"/>
        </w:rPr>
        <w:t xml:space="preserve">   </w:t>
      </w:r>
    </w:p>
    <w:p w14:paraId="01E09D04" w14:textId="77777777" w:rsidR="002165EF" w:rsidRDefault="00022785">
      <w:pPr>
        <w:pStyle w:val="Standard"/>
        <w:spacing w:line="320" w:lineRule="exact"/>
        <w:ind w:left="859" w:firstLine="280"/>
        <w:jc w:val="both"/>
        <w:rPr>
          <w:rFonts w:ascii="標楷體" w:eastAsia="標楷體" w:hAnsi="標楷體" w:cs="標楷體"/>
          <w:sz w:val="28"/>
          <w:szCs w:val="28"/>
        </w:rPr>
      </w:pPr>
      <w:r>
        <w:rPr>
          <w:rFonts w:ascii="標楷體" w:eastAsia="標楷體" w:hAnsi="標楷體" w:cs="標楷體"/>
          <w:sz w:val="28"/>
          <w:szCs w:val="28"/>
        </w:rPr>
        <w:t>施損失，均為統計之對象。</w:t>
      </w:r>
    </w:p>
    <w:p w14:paraId="20F46166" w14:textId="77777777" w:rsidR="002165EF" w:rsidRDefault="00022785">
      <w:pPr>
        <w:pStyle w:val="Standard"/>
        <w:spacing w:line="320" w:lineRule="exact"/>
        <w:ind w:left="-94" w:firstLine="420"/>
        <w:jc w:val="both"/>
      </w:pPr>
      <w:r>
        <w:rPr>
          <w:rFonts w:ascii="標楷體" w:eastAsia="標楷體" w:hAnsi="標楷體" w:cs="標楷體"/>
          <w:sz w:val="28"/>
          <w:szCs w:val="28"/>
        </w:rPr>
        <w:t>＊統計標準時間：以當年</w:t>
      </w:r>
      <w:r>
        <w:rPr>
          <w:rFonts w:ascii="標楷體" w:eastAsia="標楷體" w:hAnsi="標楷體" w:cs="標楷體"/>
          <w:sz w:val="28"/>
          <w:szCs w:val="28"/>
        </w:rPr>
        <w:t>1</w:t>
      </w:r>
      <w:r>
        <w:rPr>
          <w:rFonts w:ascii="標楷體" w:eastAsia="標楷體" w:hAnsi="標楷體" w:cs="標楷體"/>
          <w:sz w:val="28"/>
          <w:szCs w:val="28"/>
        </w:rPr>
        <w:t>月</w:t>
      </w:r>
      <w:r>
        <w:rPr>
          <w:rFonts w:ascii="標楷體" w:eastAsia="標楷體" w:hAnsi="標楷體" w:cs="標楷體"/>
          <w:sz w:val="28"/>
          <w:szCs w:val="28"/>
        </w:rPr>
        <w:t>1</w:t>
      </w:r>
      <w:r>
        <w:rPr>
          <w:rFonts w:ascii="標楷體" w:eastAsia="標楷體" w:hAnsi="標楷體" w:cs="標楷體"/>
          <w:sz w:val="28"/>
          <w:szCs w:val="28"/>
        </w:rPr>
        <w:t>日至</w:t>
      </w:r>
      <w:r>
        <w:rPr>
          <w:rFonts w:ascii="標楷體" w:eastAsia="標楷體" w:hAnsi="標楷體" w:cs="標楷體"/>
          <w:sz w:val="28"/>
          <w:szCs w:val="28"/>
        </w:rPr>
        <w:t>12</w:t>
      </w:r>
      <w:r>
        <w:rPr>
          <w:rFonts w:ascii="標楷體" w:eastAsia="標楷體" w:hAnsi="標楷體" w:cs="標楷體"/>
          <w:sz w:val="28"/>
          <w:szCs w:val="28"/>
        </w:rPr>
        <w:t>月</w:t>
      </w:r>
      <w:r>
        <w:rPr>
          <w:rFonts w:ascii="標楷體" w:eastAsia="標楷體" w:hAnsi="標楷體" w:cs="標楷體"/>
          <w:sz w:val="28"/>
          <w:szCs w:val="28"/>
        </w:rPr>
        <w:t>31</w:t>
      </w:r>
      <w:r>
        <w:rPr>
          <w:rFonts w:ascii="標楷體" w:eastAsia="標楷體" w:hAnsi="標楷體" w:cs="標楷體"/>
          <w:sz w:val="28"/>
          <w:szCs w:val="28"/>
        </w:rPr>
        <w:t>日之事實為準。</w:t>
      </w:r>
    </w:p>
    <w:p w14:paraId="5A494058" w14:textId="77777777" w:rsidR="002165EF" w:rsidRDefault="00022785">
      <w:pPr>
        <w:pStyle w:val="Standard"/>
        <w:spacing w:line="320" w:lineRule="exact"/>
        <w:ind w:firstLine="280"/>
        <w:jc w:val="both"/>
      </w:pPr>
      <w:r>
        <w:rPr>
          <w:rFonts w:ascii="標楷體" w:eastAsia="標楷體" w:hAnsi="標楷體" w:cs="標楷體"/>
          <w:sz w:val="28"/>
          <w:szCs w:val="28"/>
        </w:rPr>
        <w:t>＊統計項目定義：</w:t>
      </w:r>
    </w:p>
    <w:p w14:paraId="47364E4E" w14:textId="77777777" w:rsidR="002165EF" w:rsidRDefault="00022785">
      <w:pPr>
        <w:pStyle w:val="Standard"/>
        <w:spacing w:line="320" w:lineRule="exact"/>
        <w:ind w:left="579"/>
        <w:jc w:val="both"/>
        <w:rPr>
          <w:rFonts w:ascii="標楷體" w:eastAsia="標楷體" w:hAnsi="標楷體" w:cs="標楷體"/>
          <w:sz w:val="28"/>
          <w:szCs w:val="28"/>
        </w:rPr>
      </w:pPr>
      <w:r>
        <w:rPr>
          <w:rFonts w:ascii="標楷體" w:eastAsia="標楷體" w:hAnsi="標楷體" w:cs="標楷體"/>
          <w:sz w:val="28"/>
          <w:szCs w:val="28"/>
        </w:rPr>
        <w:t>（一）</w:t>
      </w:r>
      <w:r>
        <w:rPr>
          <w:rFonts w:ascii="標楷體" w:eastAsia="標楷體" w:hAnsi="標楷體" w:cs="標楷體"/>
          <w:sz w:val="28"/>
          <w:szCs w:val="28"/>
        </w:rPr>
        <w:tab/>
      </w:r>
      <w:r>
        <w:rPr>
          <w:rFonts w:ascii="標楷體" w:eastAsia="標楷體" w:hAnsi="標楷體" w:cs="標楷體"/>
          <w:sz w:val="28"/>
          <w:szCs w:val="28"/>
        </w:rPr>
        <w:t>災害種類：指地震、颱風、水災及其他災害等天然災害。</w:t>
      </w:r>
    </w:p>
    <w:p w14:paraId="0966D41D" w14:textId="77777777" w:rsidR="002165EF" w:rsidRDefault="00022785">
      <w:pPr>
        <w:pStyle w:val="Standard"/>
        <w:spacing w:line="320" w:lineRule="exact"/>
        <w:ind w:left="1440" w:hanging="840"/>
        <w:jc w:val="both"/>
        <w:rPr>
          <w:rFonts w:ascii="標楷體" w:eastAsia="標楷體" w:hAnsi="標楷體" w:cs="標楷體"/>
          <w:sz w:val="28"/>
          <w:szCs w:val="28"/>
        </w:rPr>
      </w:pPr>
      <w:r>
        <w:rPr>
          <w:rFonts w:ascii="標楷體" w:eastAsia="標楷體" w:hAnsi="標楷體" w:cs="標楷體"/>
          <w:sz w:val="28"/>
          <w:szCs w:val="28"/>
        </w:rPr>
        <w:t>（二）搶修（復建）經費：指遭受天然災害損害之水土保持設施搶修（復建）經費，依設施項目分為農路、治山防災設施及一般水土保持設施等搶修（復建）經費。</w:t>
      </w:r>
    </w:p>
    <w:p w14:paraId="48E424D7" w14:textId="77777777" w:rsidR="002165EF" w:rsidRDefault="00022785">
      <w:pPr>
        <w:pStyle w:val="Standard"/>
        <w:spacing w:line="320" w:lineRule="exact"/>
        <w:ind w:left="579"/>
        <w:jc w:val="both"/>
      </w:pPr>
      <w:r>
        <w:rPr>
          <w:rFonts w:ascii="標楷體" w:eastAsia="標楷體" w:hAnsi="標楷體" w:cs="標楷體"/>
          <w:sz w:val="28"/>
          <w:szCs w:val="28"/>
        </w:rPr>
        <w:t>（三）一般水土保持設施：指治山防災除外之一般水土保持設施。</w:t>
      </w:r>
    </w:p>
    <w:p w14:paraId="736630CE" w14:textId="77777777" w:rsidR="002165EF" w:rsidRDefault="00022785">
      <w:pPr>
        <w:pStyle w:val="Standard"/>
        <w:spacing w:line="320" w:lineRule="exact"/>
        <w:ind w:firstLine="280"/>
        <w:jc w:val="both"/>
      </w:pPr>
      <w:r>
        <w:rPr>
          <w:rFonts w:ascii="標楷體" w:eastAsia="標楷體" w:hAnsi="標楷體" w:cs="標楷體"/>
          <w:sz w:val="28"/>
          <w:szCs w:val="28"/>
        </w:rPr>
        <w:t>＊統計單位：新台幣千元。</w:t>
      </w:r>
    </w:p>
    <w:p w14:paraId="326B53D6" w14:textId="77777777" w:rsidR="002165EF" w:rsidRDefault="00022785">
      <w:pPr>
        <w:pStyle w:val="Standard"/>
        <w:spacing w:line="320" w:lineRule="exact"/>
        <w:ind w:firstLine="280"/>
        <w:jc w:val="both"/>
      </w:pPr>
      <w:r>
        <w:rPr>
          <w:rFonts w:ascii="標楷體" w:eastAsia="標楷體" w:hAnsi="標楷體" w:cs="標楷體"/>
          <w:sz w:val="28"/>
          <w:szCs w:val="28"/>
        </w:rPr>
        <w:t>＊統計分類：按災害種類、發生時間及搶修（復建）經費等統計之。</w:t>
      </w:r>
    </w:p>
    <w:p w14:paraId="5A7BFC1A" w14:textId="77777777" w:rsidR="002165EF" w:rsidRDefault="00022785">
      <w:pPr>
        <w:pStyle w:val="Standard"/>
        <w:spacing w:line="320" w:lineRule="exact"/>
        <w:ind w:firstLine="280"/>
        <w:jc w:val="both"/>
      </w:pPr>
      <w:r>
        <w:rPr>
          <w:rFonts w:ascii="標楷體" w:eastAsia="標楷體" w:hAnsi="標楷體" w:cs="標楷體"/>
          <w:sz w:val="28"/>
          <w:szCs w:val="28"/>
        </w:rPr>
        <w:t>＊發布週期：年</w:t>
      </w:r>
    </w:p>
    <w:p w14:paraId="61835699" w14:textId="77777777" w:rsidR="002165EF" w:rsidRDefault="00022785">
      <w:pPr>
        <w:pStyle w:val="Standard"/>
        <w:spacing w:line="320" w:lineRule="exact"/>
        <w:ind w:firstLine="280"/>
        <w:jc w:val="both"/>
      </w:pPr>
      <w:r>
        <w:rPr>
          <w:rFonts w:ascii="標楷體" w:eastAsia="標楷體" w:hAnsi="標楷體" w:cs="標楷體"/>
          <w:sz w:val="28"/>
          <w:szCs w:val="28"/>
        </w:rPr>
        <w:t>＊時效：</w:t>
      </w:r>
      <w:r>
        <w:rPr>
          <w:rFonts w:ascii="標楷體" w:eastAsia="標楷體" w:hAnsi="標楷體" w:cs="標楷體"/>
          <w:sz w:val="28"/>
          <w:szCs w:val="28"/>
        </w:rPr>
        <w:t>2</w:t>
      </w:r>
      <w:r>
        <w:rPr>
          <w:rFonts w:ascii="標楷體" w:eastAsia="標楷體" w:hAnsi="標楷體" w:cs="標楷體"/>
          <w:sz w:val="28"/>
          <w:szCs w:val="28"/>
        </w:rPr>
        <w:t>個月。</w:t>
      </w:r>
    </w:p>
    <w:p w14:paraId="069E0DAB" w14:textId="77777777" w:rsidR="002165EF" w:rsidRDefault="00022785">
      <w:pPr>
        <w:pStyle w:val="Standard"/>
        <w:spacing w:line="320" w:lineRule="exact"/>
        <w:ind w:firstLine="280"/>
        <w:jc w:val="both"/>
      </w:pPr>
      <w:r>
        <w:rPr>
          <w:rFonts w:ascii="標楷體" w:eastAsia="標楷體" w:hAnsi="標楷體" w:cs="標楷體"/>
          <w:sz w:val="28"/>
          <w:szCs w:val="28"/>
        </w:rPr>
        <w:t>＊資料變革：無。</w:t>
      </w:r>
    </w:p>
    <w:p w14:paraId="787F03AD" w14:textId="77777777" w:rsidR="002165EF" w:rsidRDefault="002165EF">
      <w:pPr>
        <w:pStyle w:val="Standard"/>
        <w:spacing w:line="320" w:lineRule="exact"/>
        <w:ind w:firstLine="280"/>
        <w:jc w:val="both"/>
        <w:rPr>
          <w:rFonts w:ascii="標楷體" w:eastAsia="標楷體" w:hAnsi="標楷體" w:cs="標楷體"/>
          <w:sz w:val="28"/>
          <w:szCs w:val="28"/>
        </w:rPr>
      </w:pPr>
    </w:p>
    <w:p w14:paraId="3BBD0AA5" w14:textId="77777777" w:rsidR="002165EF" w:rsidRDefault="00022785">
      <w:pPr>
        <w:pStyle w:val="Standard"/>
        <w:spacing w:line="320" w:lineRule="exact"/>
        <w:jc w:val="both"/>
        <w:rPr>
          <w:rFonts w:ascii="標楷體" w:eastAsia="標楷體" w:hAnsi="標楷體" w:cs="標楷體"/>
          <w:sz w:val="28"/>
          <w:szCs w:val="28"/>
        </w:rPr>
      </w:pPr>
      <w:r>
        <w:rPr>
          <w:rFonts w:ascii="標楷體" w:eastAsia="標楷體" w:hAnsi="標楷體" w:cs="標楷體"/>
          <w:sz w:val="28"/>
          <w:szCs w:val="28"/>
        </w:rPr>
        <w:t>四、公開資料發布訊息</w:t>
      </w:r>
    </w:p>
    <w:p w14:paraId="5E4E2D16" w14:textId="77777777" w:rsidR="002165EF" w:rsidRDefault="00022785">
      <w:pPr>
        <w:pStyle w:val="Standard"/>
        <w:spacing w:line="320" w:lineRule="exact"/>
        <w:ind w:left="560" w:hanging="308"/>
        <w:jc w:val="both"/>
      </w:pPr>
      <w:r>
        <w:rPr>
          <w:rFonts w:ascii="標楷體" w:eastAsia="標楷體" w:hAnsi="標楷體" w:cs="標楷體"/>
          <w:sz w:val="28"/>
          <w:szCs w:val="28"/>
        </w:rPr>
        <w:t>＊預告發布日期：次年</w:t>
      </w:r>
      <w:r>
        <w:rPr>
          <w:rFonts w:ascii="標楷體" w:eastAsia="標楷體" w:hAnsi="標楷體" w:cs="標楷體"/>
          <w:sz w:val="28"/>
          <w:szCs w:val="28"/>
        </w:rPr>
        <w:t>2</w:t>
      </w:r>
      <w:r>
        <w:rPr>
          <w:rFonts w:ascii="標楷體" w:eastAsia="標楷體" w:hAnsi="標楷體" w:cs="標楷體"/>
          <w:sz w:val="28"/>
          <w:szCs w:val="28"/>
        </w:rPr>
        <w:t>月底</w:t>
      </w:r>
      <w:r>
        <w:rPr>
          <w:rFonts w:ascii="標楷體" w:eastAsia="標楷體" w:hAnsi="標楷體" w:cs="標楷體"/>
          <w:sz w:val="28"/>
          <w:szCs w:val="28"/>
          <w:shd w:val="clear" w:color="auto" w:fill="FFFFFF"/>
        </w:rPr>
        <w:t>(</w:t>
      </w:r>
      <w:r>
        <w:rPr>
          <w:rFonts w:ascii="標楷體" w:eastAsia="標楷體" w:hAnsi="標楷體" w:cs="標楷體"/>
          <w:sz w:val="28"/>
          <w:szCs w:val="28"/>
          <w:shd w:val="clear" w:color="auto" w:fill="FFFFFF"/>
        </w:rPr>
        <w:t>原訂預告發布日期如遇例假日或國定假日則延至下一個工作日發布</w:t>
      </w:r>
      <w:r>
        <w:rPr>
          <w:rFonts w:ascii="標楷體" w:eastAsia="標楷體" w:hAnsi="標楷體" w:cs="標楷體"/>
          <w:sz w:val="28"/>
          <w:szCs w:val="28"/>
          <w:shd w:val="clear" w:color="auto" w:fill="FFFFFF"/>
        </w:rPr>
        <w:t>)</w:t>
      </w:r>
      <w:r>
        <w:rPr>
          <w:rFonts w:ascii="標楷體" w:eastAsia="標楷體" w:hAnsi="標楷體" w:cs="標楷體"/>
          <w:sz w:val="28"/>
          <w:szCs w:val="28"/>
          <w:shd w:val="clear" w:color="auto" w:fill="FFFFFF"/>
        </w:rPr>
        <w:t>。</w:t>
      </w:r>
    </w:p>
    <w:p w14:paraId="78249A54" w14:textId="77777777" w:rsidR="002165EF" w:rsidRDefault="00022785">
      <w:pPr>
        <w:pStyle w:val="Standard"/>
        <w:spacing w:line="320" w:lineRule="exact"/>
        <w:ind w:left="560" w:hanging="308"/>
        <w:jc w:val="both"/>
      </w:pPr>
      <w:r>
        <w:rPr>
          <w:rFonts w:ascii="標楷體" w:eastAsia="標楷體" w:hAnsi="標楷體" w:cs="標楷體"/>
          <w:sz w:val="28"/>
          <w:szCs w:val="28"/>
        </w:rPr>
        <w:t>＊同步發送單位：臺中市政府主計處。</w:t>
      </w:r>
    </w:p>
    <w:p w14:paraId="2F417397" w14:textId="77777777" w:rsidR="002165EF" w:rsidRDefault="00022785">
      <w:pPr>
        <w:pStyle w:val="Standard"/>
        <w:spacing w:before="240" w:line="320" w:lineRule="exact"/>
        <w:ind w:left="616" w:hanging="616"/>
        <w:jc w:val="both"/>
        <w:rPr>
          <w:rFonts w:ascii="標楷體" w:eastAsia="標楷體" w:hAnsi="標楷體" w:cs="標楷體"/>
          <w:sz w:val="28"/>
          <w:szCs w:val="28"/>
        </w:rPr>
      </w:pPr>
      <w:r>
        <w:rPr>
          <w:rFonts w:ascii="標楷體" w:eastAsia="標楷體" w:hAnsi="標楷體" w:cs="標楷體"/>
          <w:sz w:val="28"/>
          <w:szCs w:val="28"/>
        </w:rPr>
        <w:t>五、資料品質</w:t>
      </w:r>
    </w:p>
    <w:p w14:paraId="7CFC310F" w14:textId="77777777" w:rsidR="002165EF" w:rsidRDefault="00022785">
      <w:pPr>
        <w:pStyle w:val="Standard"/>
        <w:tabs>
          <w:tab w:val="left" w:pos="9040"/>
        </w:tabs>
        <w:spacing w:line="320" w:lineRule="exact"/>
        <w:ind w:left="520" w:hanging="280"/>
        <w:jc w:val="both"/>
      </w:pPr>
      <w:r>
        <w:rPr>
          <w:rFonts w:ascii="標楷體" w:eastAsia="標楷體" w:hAnsi="標楷體" w:cs="標楷體"/>
          <w:sz w:val="28"/>
          <w:szCs w:val="28"/>
        </w:rPr>
        <w:t>＊統計指標編製方法與資料來源說明：本局水土保持工程科依據每次災後災情報告、天然災害水土保持設施損失情形登記冊及區公所報送水土保持類設施全年天然災害損失金額，予以彙編。</w:t>
      </w:r>
    </w:p>
    <w:p w14:paraId="71F2F80B" w14:textId="77777777" w:rsidR="002165EF" w:rsidRDefault="00022785">
      <w:pPr>
        <w:pStyle w:val="Standard"/>
        <w:tabs>
          <w:tab w:val="left" w:pos="9086"/>
        </w:tabs>
        <w:spacing w:line="320" w:lineRule="exact"/>
        <w:ind w:left="566" w:hanging="283"/>
        <w:jc w:val="both"/>
      </w:pPr>
      <w:r>
        <w:rPr>
          <w:rFonts w:ascii="標楷體" w:eastAsia="標楷體" w:hAnsi="標楷體" w:cs="標楷體"/>
          <w:sz w:val="28"/>
          <w:szCs w:val="28"/>
        </w:rPr>
        <w:t>＊統計資料交叉查核及確保資料合理性之機制：業務單位、會計室、農業部農村發展及水土保持署交叉查核確保資料合理性。</w:t>
      </w:r>
    </w:p>
    <w:p w14:paraId="1122B7E8" w14:textId="77777777" w:rsidR="002165EF" w:rsidRDefault="00022785">
      <w:pPr>
        <w:pStyle w:val="Standard"/>
        <w:tabs>
          <w:tab w:val="left" w:pos="8520"/>
        </w:tabs>
        <w:spacing w:line="320" w:lineRule="exact"/>
        <w:jc w:val="both"/>
      </w:pPr>
      <w:r>
        <w:rPr>
          <w:rFonts w:ascii="標楷體" w:eastAsia="標楷體" w:hAnsi="標楷體" w:cs="標楷體"/>
          <w:sz w:val="28"/>
          <w:szCs w:val="28"/>
        </w:rPr>
        <w:lastRenderedPageBreak/>
        <w:t>六、須注意及預定改變之事項：表號</w:t>
      </w:r>
      <w:r>
        <w:rPr>
          <w:rFonts w:ascii="標楷體" w:eastAsia="標楷體" w:hAnsi="標楷體" w:cs="標楷體"/>
          <w:sz w:val="28"/>
          <w:szCs w:val="28"/>
        </w:rPr>
        <w:t>11260-02-01-2</w:t>
      </w:r>
      <w:r>
        <w:rPr>
          <w:rFonts w:ascii="標楷體" w:eastAsia="標楷體" w:hAnsi="標楷體" w:cs="標楷體"/>
          <w:sz w:val="28"/>
          <w:szCs w:val="28"/>
        </w:rPr>
        <w:t>。</w:t>
      </w:r>
    </w:p>
    <w:p w14:paraId="7BF60722" w14:textId="77777777" w:rsidR="002165EF" w:rsidRDefault="00022785">
      <w:pPr>
        <w:pStyle w:val="Standard"/>
        <w:tabs>
          <w:tab w:val="left" w:pos="8520"/>
        </w:tabs>
        <w:spacing w:line="320" w:lineRule="exact"/>
        <w:jc w:val="both"/>
        <w:rPr>
          <w:rFonts w:ascii="標楷體" w:eastAsia="標楷體" w:hAnsi="標楷體" w:cs="標楷體"/>
          <w:sz w:val="28"/>
          <w:szCs w:val="28"/>
        </w:rPr>
      </w:pPr>
      <w:r>
        <w:rPr>
          <w:rFonts w:ascii="標楷體" w:eastAsia="標楷體" w:hAnsi="標楷體" w:cs="標楷體"/>
          <w:sz w:val="28"/>
          <w:szCs w:val="28"/>
        </w:rPr>
        <w:t>七、其他事項：無。</w:t>
      </w:r>
    </w:p>
    <w:p w14:paraId="287CAAF9" w14:textId="77777777" w:rsidR="002165EF" w:rsidRDefault="002165EF">
      <w:pPr>
        <w:pStyle w:val="Standard"/>
        <w:tabs>
          <w:tab w:val="left" w:pos="8520"/>
        </w:tabs>
        <w:spacing w:line="320" w:lineRule="exact"/>
        <w:jc w:val="both"/>
        <w:rPr>
          <w:rFonts w:ascii="標楷體" w:eastAsia="標楷體" w:hAnsi="標楷體" w:cs="標楷體"/>
          <w:sz w:val="28"/>
          <w:szCs w:val="28"/>
        </w:rPr>
      </w:pPr>
    </w:p>
    <w:sectPr w:rsidR="002165E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35F1" w14:textId="77777777" w:rsidR="00000000" w:rsidRDefault="00022785">
      <w:pPr>
        <w:rPr>
          <w:rFonts w:hint="eastAsia"/>
        </w:rPr>
      </w:pPr>
      <w:r>
        <w:separator/>
      </w:r>
    </w:p>
  </w:endnote>
  <w:endnote w:type="continuationSeparator" w:id="0">
    <w:p w14:paraId="24DEA9A0" w14:textId="77777777" w:rsidR="00000000" w:rsidRDefault="000227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ncientClock">
    <w:charset w:val="02"/>
    <w:family w:val="auto"/>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swiss"/>
    <w:pitch w:val="variable"/>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7E39B" w14:textId="77777777" w:rsidR="00000000" w:rsidRDefault="00022785">
      <w:pPr>
        <w:rPr>
          <w:rFonts w:hint="eastAsia"/>
        </w:rPr>
      </w:pPr>
      <w:r>
        <w:rPr>
          <w:color w:val="000000"/>
        </w:rPr>
        <w:separator/>
      </w:r>
    </w:p>
  </w:footnote>
  <w:footnote w:type="continuationSeparator" w:id="0">
    <w:p w14:paraId="197D353B" w14:textId="77777777" w:rsidR="00000000" w:rsidRDefault="0002278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65F24"/>
    <w:multiLevelType w:val="multilevel"/>
    <w:tmpl w:val="6E80A0C6"/>
    <w:styleLink w:val="WW8Num2"/>
    <w:lvl w:ilvl="0">
      <w:start w:val="1"/>
      <w:numFmt w:val="decimal"/>
      <w:lvlText w:val="(%1)"/>
      <w:lvlJc w:val="left"/>
      <w:pPr>
        <w:ind w:left="2800" w:hanging="360"/>
      </w:pPr>
    </w:lvl>
    <w:lvl w:ilvl="1">
      <w:start w:val="1"/>
      <w:numFmt w:val="ideographTraditional"/>
      <w:lvlText w:val="%2、"/>
      <w:lvlJc w:val="left"/>
      <w:pPr>
        <w:ind w:left="3400" w:hanging="480"/>
      </w:pPr>
    </w:lvl>
    <w:lvl w:ilvl="2">
      <w:start w:val="1"/>
      <w:numFmt w:val="lowerRoman"/>
      <w:lvlText w:val="%3."/>
      <w:lvlJc w:val="right"/>
      <w:pPr>
        <w:ind w:left="3880" w:hanging="480"/>
      </w:pPr>
    </w:lvl>
    <w:lvl w:ilvl="3">
      <w:start w:val="1"/>
      <w:numFmt w:val="decimal"/>
      <w:lvlText w:val="%4."/>
      <w:lvlJc w:val="left"/>
      <w:pPr>
        <w:ind w:left="4360" w:hanging="480"/>
      </w:pPr>
    </w:lvl>
    <w:lvl w:ilvl="4">
      <w:start w:val="1"/>
      <w:numFmt w:val="ideographTraditional"/>
      <w:lvlText w:val="%5、"/>
      <w:lvlJc w:val="left"/>
      <w:pPr>
        <w:ind w:left="4840" w:hanging="480"/>
      </w:pPr>
    </w:lvl>
    <w:lvl w:ilvl="5">
      <w:start w:val="1"/>
      <w:numFmt w:val="lowerRoman"/>
      <w:lvlText w:val="%6."/>
      <w:lvlJc w:val="right"/>
      <w:pPr>
        <w:ind w:left="5320" w:hanging="480"/>
      </w:pPr>
    </w:lvl>
    <w:lvl w:ilvl="6">
      <w:start w:val="1"/>
      <w:numFmt w:val="decimal"/>
      <w:lvlText w:val="%7."/>
      <w:lvlJc w:val="left"/>
      <w:pPr>
        <w:ind w:left="5800" w:hanging="480"/>
      </w:pPr>
    </w:lvl>
    <w:lvl w:ilvl="7">
      <w:start w:val="1"/>
      <w:numFmt w:val="ideographTraditional"/>
      <w:lvlText w:val="%8、"/>
      <w:lvlJc w:val="left"/>
      <w:pPr>
        <w:ind w:left="6280" w:hanging="480"/>
      </w:pPr>
    </w:lvl>
    <w:lvl w:ilvl="8">
      <w:start w:val="1"/>
      <w:numFmt w:val="lowerRoman"/>
      <w:lvlText w:val="%9."/>
      <w:lvlJc w:val="right"/>
      <w:pPr>
        <w:ind w:left="6760" w:hanging="480"/>
      </w:pPr>
    </w:lvl>
  </w:abstractNum>
  <w:abstractNum w:abstractNumId="1" w15:restartNumberingAfterBreak="0">
    <w:nsid w:val="4ABA7353"/>
    <w:multiLevelType w:val="multilevel"/>
    <w:tmpl w:val="FAD8C15E"/>
    <w:styleLink w:val="WW8Num3"/>
    <w:lvl w:ilvl="0">
      <w:numFmt w:val="bullet"/>
      <w:lvlText w:val="＊"/>
      <w:lvlJc w:val="left"/>
      <w:pPr>
        <w:ind w:left="480" w:hanging="480"/>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011307B"/>
    <w:multiLevelType w:val="multilevel"/>
    <w:tmpl w:val="3AD8BB54"/>
    <w:styleLink w:val="WW8Num5"/>
    <w:lvl w:ilvl="0">
      <w:numFmt w:val="bullet"/>
      <w:lvlText w:val="＊"/>
      <w:lvlJc w:val="left"/>
      <w:pPr>
        <w:ind w:left="960" w:hanging="480"/>
      </w:pPr>
      <w:rPr>
        <w:rFonts w:ascii="標楷體" w:eastAsia="標楷體" w:hAnsi="標楷體" w:cs="Times New Roman"/>
      </w:rPr>
    </w:lvl>
    <w:lvl w:ilvl="1">
      <w:numFmt w:val="bullet"/>
      <w:lvlText w:val=""/>
      <w:lvlJc w:val="left"/>
      <w:pPr>
        <w:ind w:left="1440" w:hanging="480"/>
      </w:pPr>
      <w:rPr>
        <w:rFonts w:ascii="AncientClock" w:hAnsi="AncientClock" w:cs="AncientClock"/>
      </w:rPr>
    </w:lvl>
    <w:lvl w:ilvl="2">
      <w:numFmt w:val="bullet"/>
      <w:lvlText w:val=""/>
      <w:lvlJc w:val="left"/>
      <w:pPr>
        <w:ind w:left="1920" w:hanging="480"/>
      </w:pPr>
      <w:rPr>
        <w:rFonts w:ascii="AncientClock" w:hAnsi="AncientClock" w:cs="AncientClock"/>
      </w:rPr>
    </w:lvl>
    <w:lvl w:ilvl="3">
      <w:numFmt w:val="bullet"/>
      <w:lvlText w:val=""/>
      <w:lvlJc w:val="left"/>
      <w:pPr>
        <w:ind w:left="2400" w:hanging="480"/>
      </w:pPr>
      <w:rPr>
        <w:rFonts w:ascii="AncientClock" w:hAnsi="AncientClock" w:cs="AncientClock"/>
      </w:rPr>
    </w:lvl>
    <w:lvl w:ilvl="4">
      <w:numFmt w:val="bullet"/>
      <w:lvlText w:val=""/>
      <w:lvlJc w:val="left"/>
      <w:pPr>
        <w:ind w:left="2880" w:hanging="480"/>
      </w:pPr>
      <w:rPr>
        <w:rFonts w:ascii="AncientClock" w:hAnsi="AncientClock" w:cs="AncientClock"/>
      </w:rPr>
    </w:lvl>
    <w:lvl w:ilvl="5">
      <w:numFmt w:val="bullet"/>
      <w:lvlText w:val=""/>
      <w:lvlJc w:val="left"/>
      <w:pPr>
        <w:ind w:left="3360" w:hanging="480"/>
      </w:pPr>
      <w:rPr>
        <w:rFonts w:ascii="AncientClock" w:hAnsi="AncientClock" w:cs="AncientClock"/>
      </w:rPr>
    </w:lvl>
    <w:lvl w:ilvl="6">
      <w:numFmt w:val="bullet"/>
      <w:lvlText w:val=""/>
      <w:lvlJc w:val="left"/>
      <w:pPr>
        <w:ind w:left="3840" w:hanging="480"/>
      </w:pPr>
      <w:rPr>
        <w:rFonts w:ascii="AncientClock" w:hAnsi="AncientClock" w:cs="AncientClock"/>
      </w:rPr>
    </w:lvl>
    <w:lvl w:ilvl="7">
      <w:numFmt w:val="bullet"/>
      <w:lvlText w:val=""/>
      <w:lvlJc w:val="left"/>
      <w:pPr>
        <w:ind w:left="4320" w:hanging="480"/>
      </w:pPr>
      <w:rPr>
        <w:rFonts w:ascii="AncientClock" w:hAnsi="AncientClock" w:cs="AncientClock"/>
      </w:rPr>
    </w:lvl>
    <w:lvl w:ilvl="8">
      <w:numFmt w:val="bullet"/>
      <w:lvlText w:val=""/>
      <w:lvlJc w:val="left"/>
      <w:pPr>
        <w:ind w:left="4800" w:hanging="480"/>
      </w:pPr>
      <w:rPr>
        <w:rFonts w:ascii="AncientClock" w:hAnsi="AncientClock" w:cs="AncientClock"/>
      </w:rPr>
    </w:lvl>
  </w:abstractNum>
  <w:abstractNum w:abstractNumId="3" w15:restartNumberingAfterBreak="0">
    <w:nsid w:val="6B8E776A"/>
    <w:multiLevelType w:val="multilevel"/>
    <w:tmpl w:val="E1E6EB02"/>
    <w:styleLink w:val="WW8Num4"/>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AA14F6A"/>
    <w:multiLevelType w:val="multilevel"/>
    <w:tmpl w:val="933E3836"/>
    <w:styleLink w:val="WW8Num6"/>
    <w:lvl w:ilvl="0">
      <w:start w:val="1"/>
      <w:numFmt w:val="japaneseCounting"/>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5" w15:restartNumberingAfterBreak="0">
    <w:nsid w:val="7F826C24"/>
    <w:multiLevelType w:val="multilevel"/>
    <w:tmpl w:val="C1E61906"/>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50447893">
    <w:abstractNumId w:val="5"/>
  </w:num>
  <w:num w:numId="2" w16cid:durableId="952590524">
    <w:abstractNumId w:val="0"/>
  </w:num>
  <w:num w:numId="3" w16cid:durableId="1387220559">
    <w:abstractNumId w:val="1"/>
  </w:num>
  <w:num w:numId="4" w16cid:durableId="877819647">
    <w:abstractNumId w:val="3"/>
  </w:num>
  <w:num w:numId="5" w16cid:durableId="441582528">
    <w:abstractNumId w:val="2"/>
  </w:num>
  <w:num w:numId="6" w16cid:durableId="2074883910">
    <w:abstractNumId w:val="4"/>
  </w:num>
  <w:num w:numId="7" w16cid:durableId="1766538248">
    <w:abstractNumId w:val="3"/>
    <w:lvlOverride w:ilvl="0"/>
  </w:num>
  <w:num w:numId="8" w16cid:durableId="1644308081">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165EF"/>
    <w:rsid w:val="00022785"/>
    <w:rsid w:val="002165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14834"/>
  <w15:docId w15:val="{FEB0FC5B-1DD4-404A-8EA7-EAF80681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4z0">
    <w:name w:val="WW8Num4z0"/>
    <w:rPr>
      <w:rFonts w:ascii="標楷體" w:eastAsia="標楷體" w:hAnsi="標楷體" w:cs="Times New Roman"/>
    </w:rPr>
  </w:style>
  <w:style w:type="character" w:customStyle="1" w:styleId="WW8Num5z0">
    <w:name w:val="WW8Num5z0"/>
    <w:rPr>
      <w:rFonts w:ascii="標楷體" w:eastAsia="標楷體" w:hAnsi="標楷體" w:cs="Times New Roman"/>
    </w:rPr>
  </w:style>
  <w:style w:type="character" w:customStyle="1" w:styleId="WW8Num5z1">
    <w:name w:val="WW8Num5z1"/>
    <w:rPr>
      <w:rFonts w:ascii="AncientClock" w:eastAsia="AncientClock" w:hAnsi="AncientClock" w:cs="AncientClock"/>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40115@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高雄市政府</dc:creator>
  <cp:lastModifiedBy>cws</cp:lastModifiedBy>
  <cp:revision>2</cp:revision>
  <dcterms:created xsi:type="dcterms:W3CDTF">2025-02-13T02:51:00Z</dcterms:created>
  <dcterms:modified xsi:type="dcterms:W3CDTF">2025-02-13T02:51:00Z</dcterms:modified>
</cp:coreProperties>
</file>