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5130" w14:textId="77777777" w:rsidR="00D53D8D" w:rsidRDefault="00F75D69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統計資料背景說明</w:t>
      </w:r>
    </w:p>
    <w:p w14:paraId="79A276C6" w14:textId="77777777" w:rsidR="00D53D8D" w:rsidRDefault="00F75D69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資料種類：土地統計</w:t>
      </w:r>
    </w:p>
    <w:p w14:paraId="68B3900D" w14:textId="77777777" w:rsidR="00D53D8D" w:rsidRDefault="00F75D6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資料項目：臺中市龍井區公所租佃委員會調解調處案件</w:t>
      </w:r>
    </w:p>
    <w:p w14:paraId="4BAA21F5" w14:textId="77777777" w:rsidR="00D53D8D" w:rsidRDefault="00F75D69">
      <w:pPr>
        <w:spacing w:line="400" w:lineRule="exact"/>
        <w:ind w:left="56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一、發布及編製機關單位</w:t>
      </w:r>
    </w:p>
    <w:p w14:paraId="58E588AC" w14:textId="77777777" w:rsidR="00D53D8D" w:rsidRDefault="00F75D69">
      <w:pPr>
        <w:spacing w:line="400" w:lineRule="exact"/>
        <w:ind w:left="480"/>
      </w:pPr>
      <w:r>
        <w:rPr>
          <w:rFonts w:ascii="Times New Roman" w:eastAsia="標楷體" w:hAnsi="Times New Roman"/>
          <w:sz w:val="28"/>
          <w:szCs w:val="28"/>
        </w:rPr>
        <w:t>＊發布機關、單位：臺中市龍井區公所會計室</w:t>
      </w:r>
    </w:p>
    <w:p w14:paraId="78B91210" w14:textId="77777777" w:rsidR="00D53D8D" w:rsidRDefault="00F75D69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＊編製單位：臺中市龍井區公所農業課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阮銘哲</w:t>
      </w:r>
    </w:p>
    <w:p w14:paraId="6EF6D902" w14:textId="77777777" w:rsidR="00D53D8D" w:rsidRDefault="00F75D69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＊聯絡電話：</w:t>
      </w:r>
      <w:r>
        <w:rPr>
          <w:rFonts w:ascii="Times New Roman" w:eastAsia="標楷體" w:hAnsi="Times New Roman"/>
          <w:sz w:val="28"/>
          <w:szCs w:val="28"/>
        </w:rPr>
        <w:t>04-26352411#1142</w:t>
      </w:r>
    </w:p>
    <w:p w14:paraId="0EF022D5" w14:textId="77777777" w:rsidR="00D53D8D" w:rsidRDefault="00F75D69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＊傳真：</w:t>
      </w:r>
      <w:r>
        <w:rPr>
          <w:rFonts w:ascii="Times New Roman" w:eastAsia="標楷體" w:hAnsi="Times New Roman"/>
          <w:sz w:val="28"/>
          <w:szCs w:val="28"/>
        </w:rPr>
        <w:t>04-26354222</w:t>
      </w:r>
    </w:p>
    <w:p w14:paraId="2D74F7A8" w14:textId="77777777" w:rsidR="00D53D8D" w:rsidRDefault="00F75D69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＊電子信箱：</w:t>
      </w:r>
      <w:r>
        <w:rPr>
          <w:rFonts w:ascii="Times New Roman" w:eastAsia="標楷體" w:hAnsi="Times New Roman"/>
          <w:sz w:val="28"/>
          <w:szCs w:val="28"/>
        </w:rPr>
        <w:t>r208@taichung.gov.tw</w:t>
      </w:r>
    </w:p>
    <w:p w14:paraId="7B4DBD4C" w14:textId="77777777" w:rsidR="00D53D8D" w:rsidRDefault="00F75D69">
      <w:pPr>
        <w:spacing w:line="400" w:lineRule="exact"/>
        <w:ind w:left="282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二、發布形式</w:t>
      </w:r>
    </w:p>
    <w:p w14:paraId="70640192" w14:textId="77777777" w:rsidR="00D53D8D" w:rsidRDefault="00F75D69">
      <w:pPr>
        <w:spacing w:line="400" w:lineRule="exact"/>
        <w:ind w:left="760" w:hanging="2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＊口頭：（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）記者會或說明會</w:t>
      </w:r>
    </w:p>
    <w:p w14:paraId="479D2CB5" w14:textId="77777777" w:rsidR="00D53D8D" w:rsidRDefault="00F75D69">
      <w:pPr>
        <w:spacing w:line="400" w:lineRule="exact"/>
        <w:ind w:left="760" w:hanging="280"/>
      </w:pPr>
      <w:r>
        <w:rPr>
          <w:rFonts w:ascii="標楷體" w:eastAsia="標楷體" w:hAnsi="標楷體"/>
          <w:sz w:val="28"/>
          <w:szCs w:val="28"/>
        </w:rPr>
        <w:t>＊書面：</w:t>
      </w:r>
      <w:r>
        <w:rPr>
          <w:rFonts w:ascii="Times New Roman" w:eastAsia="標楷體" w:hAnsi="Times New Roman"/>
          <w:sz w:val="28"/>
          <w:szCs w:val="28"/>
        </w:rPr>
        <w:t>（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）新聞稿</w:t>
      </w:r>
      <w:r>
        <w:rPr>
          <w:rFonts w:ascii="Times New Roman" w:eastAsia="標楷體" w:hAnsi="Times New Roman"/>
          <w:sz w:val="28"/>
          <w:szCs w:val="28"/>
        </w:rPr>
        <w:t xml:space="preserve">   </w:t>
      </w:r>
      <w:r>
        <w:rPr>
          <w:rFonts w:ascii="Times New Roman" w:eastAsia="標楷體" w:hAnsi="Times New Roman"/>
          <w:sz w:val="28"/>
          <w:szCs w:val="28"/>
        </w:rPr>
        <w:t>（）報表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/>
          <w:sz w:val="28"/>
          <w:szCs w:val="28"/>
        </w:rPr>
        <w:t>（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）書刊，刊名：</w:t>
      </w:r>
    </w:p>
    <w:p w14:paraId="73C90088" w14:textId="77777777" w:rsidR="00D53D8D" w:rsidRDefault="00F75D69">
      <w:pPr>
        <w:spacing w:line="400" w:lineRule="exact"/>
        <w:ind w:left="760" w:hanging="2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＊電子媒體：</w:t>
      </w:r>
    </w:p>
    <w:p w14:paraId="01264703" w14:textId="77777777" w:rsidR="00D53D8D" w:rsidRDefault="00F75D69">
      <w:pPr>
        <w:spacing w:line="400" w:lineRule="exact"/>
        <w:ind w:left="760" w:hanging="280"/>
      </w:pP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/>
          <w:sz w:val="28"/>
          <w:szCs w:val="28"/>
        </w:rPr>
        <w:t>（</w:t>
      </w:r>
      <w:r>
        <w:rPr>
          <w:rFonts w:ascii="Times New Roman" w:eastAsia="標楷體" w:hAnsi="Times New Roman"/>
          <w:sz w:val="28"/>
          <w:szCs w:val="28"/>
        </w:rPr>
        <w:t>）線上書刊及資料庫，網址：</w:t>
      </w:r>
      <w:r>
        <w:rPr>
          <w:spacing w:val="-4"/>
          <w:sz w:val="28"/>
        </w:rPr>
        <w:t xml:space="preserve">                     </w:t>
      </w:r>
    </w:p>
    <w:p w14:paraId="347EFD41" w14:textId="77777777" w:rsidR="00D53D8D" w:rsidRDefault="00F75D69">
      <w:pPr>
        <w:spacing w:line="400" w:lineRule="exact"/>
      </w:pPr>
      <w:r>
        <w:rPr>
          <w:rFonts w:ascii="Times New Roman" w:eastAsia="標楷體" w:hAnsi="Times New Roman"/>
          <w:sz w:val="28"/>
          <w:szCs w:val="28"/>
        </w:rPr>
        <w:t xml:space="preserve">            </w:t>
      </w:r>
      <w:r>
        <w:rPr>
          <w:rFonts w:ascii="Times New Roman" w:eastAsia="標楷體" w:hAnsi="Times New Roman"/>
          <w:sz w:val="28"/>
          <w:szCs w:val="28"/>
        </w:rPr>
        <w:t>（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）磁片</w:t>
      </w:r>
      <w:r>
        <w:rPr>
          <w:rFonts w:ascii="Times New Roman" w:eastAsia="標楷體" w:hAnsi="Times New Roman"/>
          <w:sz w:val="28"/>
          <w:szCs w:val="28"/>
        </w:rPr>
        <w:t xml:space="preserve">   </w:t>
      </w:r>
      <w:r>
        <w:rPr>
          <w:rFonts w:ascii="Times New Roman" w:eastAsia="標楷體" w:hAnsi="Times New Roman"/>
          <w:sz w:val="28"/>
          <w:szCs w:val="28"/>
        </w:rPr>
        <w:t>（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）光碟片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/>
          <w:sz w:val="28"/>
          <w:szCs w:val="28"/>
        </w:rPr>
        <w:t>（</w:t>
      </w:r>
      <w:r>
        <w:rPr>
          <w:rFonts w:ascii="標楷體" w:eastAsia="標楷體" w:hAnsi="標楷體"/>
          <w:color w:val="000000"/>
        </w:rPr>
        <w:t>V</w:t>
      </w:r>
      <w:r>
        <w:rPr>
          <w:rFonts w:ascii="Times New Roman" w:eastAsia="標楷體" w:hAnsi="Times New Roman"/>
          <w:sz w:val="28"/>
          <w:szCs w:val="28"/>
        </w:rPr>
        <w:t>）其他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報表</w:t>
      </w:r>
      <w:r>
        <w:rPr>
          <w:rFonts w:ascii="Times New Roman" w:eastAsia="標楷體" w:hAnsi="Times New Roman"/>
          <w:sz w:val="28"/>
          <w:szCs w:val="28"/>
        </w:rPr>
        <w:t>)</w:t>
      </w:r>
    </w:p>
    <w:p w14:paraId="06C6852E" w14:textId="77777777" w:rsidR="00D53D8D" w:rsidRDefault="00F75D69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三、資料範圍、週期及時效</w:t>
      </w:r>
    </w:p>
    <w:p w14:paraId="08EFD72C" w14:textId="77777777" w:rsidR="00D53D8D" w:rsidRDefault="00F75D69">
      <w:pPr>
        <w:spacing w:line="400" w:lineRule="exact"/>
        <w:ind w:left="76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＊統計地區範圍及對象：凡在本區租佃委員會調解調處之案件，均為統計對象。</w:t>
      </w:r>
    </w:p>
    <w:p w14:paraId="741E5736" w14:textId="77777777" w:rsidR="00D53D8D" w:rsidRDefault="00F75D69">
      <w:pPr>
        <w:spacing w:line="400" w:lineRule="exact"/>
        <w:ind w:left="76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＊統計標準時間：以每年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月底之動態事實為準。</w:t>
      </w:r>
    </w:p>
    <w:p w14:paraId="4B0498DB" w14:textId="77777777" w:rsidR="00D53D8D" w:rsidRDefault="00F75D69">
      <w:pPr>
        <w:spacing w:line="400" w:lineRule="exact"/>
        <w:ind w:left="760" w:hanging="280"/>
      </w:pPr>
      <w:r>
        <w:rPr>
          <w:rFonts w:ascii="標楷體" w:eastAsia="標楷體" w:hAnsi="標楷體"/>
          <w:sz w:val="28"/>
          <w:szCs w:val="28"/>
        </w:rPr>
        <w:t>＊統計項目定義：不屬表列各類調處案件應全部列入「其他」內，但必須在附註欄內</w:t>
      </w:r>
      <w:r>
        <w:rPr>
          <w:rFonts w:ascii="標楷體" w:eastAsia="標楷體" w:hAnsi="標楷體"/>
          <w:color w:val="000000"/>
          <w:sz w:val="28"/>
          <w:szCs w:val="28"/>
        </w:rPr>
        <w:t>說明為何種案件及其個別數量。</w:t>
      </w:r>
    </w:p>
    <w:p w14:paraId="0A68F0E3" w14:textId="77777777" w:rsidR="00D53D8D" w:rsidRDefault="00F75D69">
      <w:pPr>
        <w:spacing w:line="400" w:lineRule="exact"/>
        <w:ind w:left="76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＊統計單位：件。</w:t>
      </w:r>
    </w:p>
    <w:p w14:paraId="76EDFA72" w14:textId="77777777" w:rsidR="00D53D8D" w:rsidRDefault="00F75D69">
      <w:pPr>
        <w:spacing w:line="400" w:lineRule="exact"/>
        <w:ind w:left="760" w:hanging="280"/>
      </w:pPr>
      <w:r>
        <w:rPr>
          <w:rFonts w:ascii="標楷體" w:eastAsia="標楷體" w:hAnsi="標楷體"/>
          <w:color w:val="000000"/>
          <w:sz w:val="28"/>
          <w:szCs w:val="28"/>
        </w:rPr>
        <w:t>＊統計分類：以糾紛類別分：租額糾紛、災歉減免地租、正產副產糾紛、租期糾紛、租約面積糾紛、田寮或基地租佃糾紛、減租條例第</w:t>
      </w:r>
      <w:r>
        <w:rPr>
          <w:rFonts w:ascii="標楷體" w:eastAsia="標楷體" w:hAnsi="標楷體"/>
          <w:color w:val="000000"/>
          <w:sz w:val="28"/>
          <w:szCs w:val="28"/>
        </w:rPr>
        <w:t>16</w:t>
      </w:r>
      <w:r>
        <w:rPr>
          <w:rFonts w:ascii="標楷體" w:eastAsia="標楷體" w:hAnsi="標楷體"/>
          <w:color w:val="000000"/>
          <w:sz w:val="28"/>
          <w:szCs w:val="28"/>
        </w:rPr>
        <w:t>條糾紛及其他等項。</w:t>
      </w:r>
    </w:p>
    <w:p w14:paraId="22ADDA48" w14:textId="77777777" w:rsidR="00D53D8D" w:rsidRDefault="00F75D69">
      <w:pPr>
        <w:spacing w:line="400" w:lineRule="exact"/>
        <w:ind w:left="76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＊發布週期：年。</w:t>
      </w:r>
    </w:p>
    <w:p w14:paraId="029BC12B" w14:textId="77777777" w:rsidR="00D53D8D" w:rsidRDefault="00F75D69">
      <w:pPr>
        <w:spacing w:line="400" w:lineRule="exact"/>
        <w:ind w:left="76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＊時效：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日。</w:t>
      </w:r>
    </w:p>
    <w:p w14:paraId="2C4E4D43" w14:textId="77777777" w:rsidR="00D53D8D" w:rsidRDefault="00F75D69">
      <w:pPr>
        <w:spacing w:line="400" w:lineRule="exact"/>
        <w:ind w:left="76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＊資料變革：無。</w:t>
      </w:r>
    </w:p>
    <w:p w14:paraId="52F6D77C" w14:textId="77777777" w:rsidR="00D53D8D" w:rsidRDefault="00F75D69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四、公開資料發布訊息</w:t>
      </w:r>
    </w:p>
    <w:p w14:paraId="62B5A036" w14:textId="77777777" w:rsidR="00D53D8D" w:rsidRDefault="00F75D69">
      <w:pPr>
        <w:spacing w:line="400" w:lineRule="exact"/>
        <w:ind w:left="760" w:hanging="280"/>
      </w:pPr>
      <w:r>
        <w:rPr>
          <w:rFonts w:ascii="標楷體" w:eastAsia="標楷體" w:hAnsi="標楷體"/>
          <w:color w:val="000000"/>
          <w:sz w:val="28"/>
          <w:szCs w:val="28"/>
        </w:rPr>
        <w:t>＊預告發布日期：每年終了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原訂預告發布日期如遇例假日或國定假日則延至下一個工作日發布</w:t>
      </w:r>
      <w:r>
        <w:rPr>
          <w:rFonts w:eastAsia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CD03498" w14:textId="77777777" w:rsidR="00D53D8D" w:rsidRDefault="00F75D69">
      <w:pPr>
        <w:spacing w:line="400" w:lineRule="exact"/>
        <w:ind w:left="76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＊同步發送單位：臺中市政府主計處。</w:t>
      </w:r>
    </w:p>
    <w:p w14:paraId="0A7EAA87" w14:textId="77777777" w:rsidR="00D53D8D" w:rsidRDefault="00F75D69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五、資料品質</w:t>
      </w:r>
    </w:p>
    <w:p w14:paraId="3860A189" w14:textId="77777777" w:rsidR="00D53D8D" w:rsidRDefault="00F75D69">
      <w:pPr>
        <w:spacing w:line="400" w:lineRule="exact"/>
        <w:ind w:left="760" w:hanging="280"/>
      </w:pPr>
      <w:r>
        <w:rPr>
          <w:rFonts w:ascii="標楷體" w:eastAsia="標楷體" w:hAnsi="標楷體"/>
          <w:color w:val="000000"/>
          <w:sz w:val="28"/>
          <w:szCs w:val="28"/>
        </w:rPr>
        <w:t>＊統計指標編製方法與資料來源說明：</w:t>
      </w:r>
      <w:r>
        <w:rPr>
          <w:rFonts w:ascii="標楷體" w:eastAsia="標楷體" w:hAnsi="標楷體"/>
          <w:color w:val="000000"/>
          <w:sz w:val="28"/>
        </w:rPr>
        <w:t>本所農業課依據租佃委員會調解調處</w:t>
      </w:r>
      <w:r>
        <w:rPr>
          <w:rFonts w:ascii="標楷體" w:eastAsia="標楷體" w:hAnsi="標楷體"/>
          <w:color w:val="000000"/>
          <w:sz w:val="28"/>
        </w:rPr>
        <w:lastRenderedPageBreak/>
        <w:t>案件登記簿資料編製。</w:t>
      </w:r>
    </w:p>
    <w:p w14:paraId="6E21C9DA" w14:textId="77777777" w:rsidR="00D53D8D" w:rsidRDefault="00F75D69">
      <w:pPr>
        <w:spacing w:line="400" w:lineRule="exact"/>
        <w:ind w:left="76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＊統計資料交叉查核及確保資料合理性之機制：紙本紀錄與電子檔案</w:t>
      </w:r>
      <w:r>
        <w:rPr>
          <w:rFonts w:ascii="標楷體" w:eastAsia="標楷體" w:hAnsi="標楷體"/>
          <w:color w:val="000000"/>
          <w:sz w:val="28"/>
          <w:szCs w:val="28"/>
        </w:rPr>
        <w:t>交叉查核。</w:t>
      </w:r>
    </w:p>
    <w:p w14:paraId="21499C2B" w14:textId="77777777" w:rsidR="00D53D8D" w:rsidRDefault="00F75D69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六、須注意及預定改變之事項：表號：</w:t>
      </w:r>
      <w:r>
        <w:rPr>
          <w:rFonts w:ascii="Times New Roman" w:eastAsia="標楷體" w:hAnsi="Times New Roman"/>
          <w:color w:val="000000"/>
          <w:sz w:val="28"/>
          <w:szCs w:val="28"/>
        </w:rPr>
        <w:t>11242-05-01-3</w:t>
      </w:r>
      <w:r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1FF8EDB9" w14:textId="77777777" w:rsidR="00D53D8D" w:rsidRDefault="00F75D69">
      <w:pPr>
        <w:spacing w:line="400" w:lineRule="exact"/>
        <w:ind w:left="560" w:hanging="560"/>
      </w:pPr>
      <w:r>
        <w:rPr>
          <w:rFonts w:ascii="Times New Roman" w:eastAsia="標楷體" w:hAnsi="Times New Roman"/>
          <w:color w:val="000000"/>
          <w:sz w:val="28"/>
          <w:szCs w:val="28"/>
        </w:rPr>
        <w:t>七、其他事項：無。</w:t>
      </w:r>
    </w:p>
    <w:sectPr w:rsidR="00D53D8D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BB69" w14:textId="77777777" w:rsidR="00000000" w:rsidRDefault="00F75D69">
      <w:r>
        <w:separator/>
      </w:r>
    </w:p>
  </w:endnote>
  <w:endnote w:type="continuationSeparator" w:id="0">
    <w:p w14:paraId="50C41415" w14:textId="77777777" w:rsidR="00000000" w:rsidRDefault="00F7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8C5A" w14:textId="77777777" w:rsidR="00000000" w:rsidRDefault="00F75D69">
      <w:r>
        <w:rPr>
          <w:color w:val="000000"/>
        </w:rPr>
        <w:separator/>
      </w:r>
    </w:p>
  </w:footnote>
  <w:footnote w:type="continuationSeparator" w:id="0">
    <w:p w14:paraId="48DF868C" w14:textId="77777777" w:rsidR="00000000" w:rsidRDefault="00F7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3D8D"/>
    <w:rsid w:val="00D53D8D"/>
    <w:rsid w:val="00F7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52E28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>tccg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PCLee</dc:creator>
  <cp:lastModifiedBy>Jason</cp:lastModifiedBy>
  <cp:revision>2</cp:revision>
  <dcterms:created xsi:type="dcterms:W3CDTF">2024-12-13T07:11:00Z</dcterms:created>
  <dcterms:modified xsi:type="dcterms:W3CDTF">2024-12-13T07:11:00Z</dcterms:modified>
</cp:coreProperties>
</file>