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37F9" w:rsidRDefault="00D77C99">
      <w:pPr>
        <w:pStyle w:val="Standard"/>
        <w:spacing w:line="0" w:lineRule="atLeast"/>
        <w:jc w:val="center"/>
        <w:rPr>
          <w:rFonts w:eastAsia="標楷體"/>
          <w:spacing w:val="-4"/>
        </w:rPr>
      </w:pPr>
      <w:r>
        <w:rPr>
          <w:rFonts w:eastAsia="標楷體"/>
          <w:spacing w:val="-4"/>
        </w:rPr>
        <w:t>統計資料背景說明</w:t>
      </w:r>
    </w:p>
    <w:p w:rsidR="004E37F9" w:rsidRDefault="00D77C99">
      <w:pPr>
        <w:pStyle w:val="Standard"/>
        <w:spacing w:line="360" w:lineRule="exact"/>
      </w:pPr>
      <w:r>
        <w:rPr>
          <w:rFonts w:eastAsia="標楷體"/>
        </w:rPr>
        <w:t>資料種類：土地統計</w:t>
      </w:r>
    </w:p>
    <w:p w:rsidR="004E37F9" w:rsidRDefault="00D77C99">
      <w:pPr>
        <w:pStyle w:val="Standard"/>
        <w:spacing w:line="0" w:lineRule="atLeast"/>
      </w:pPr>
      <w:r>
        <w:rPr>
          <w:rFonts w:ascii="標楷體" w:eastAsia="標楷體" w:hAnsi="標楷體"/>
          <w:spacing w:val="-4"/>
        </w:rPr>
        <w:t>資料項目：</w:t>
      </w:r>
      <w:r>
        <w:rPr>
          <w:rFonts w:eastAsia="標楷體"/>
          <w:spacing w:val="-4"/>
        </w:rPr>
        <w:t>臺中市河川、排水、海堤公地許可使用費徵收情形－舊欠</w:t>
      </w:r>
    </w:p>
    <w:p w:rsidR="004E37F9" w:rsidRDefault="00D77C99">
      <w:pPr>
        <w:pStyle w:val="Standard"/>
        <w:spacing w:line="0" w:lineRule="atLeast"/>
        <w:jc w:val="both"/>
        <w:rPr>
          <w:rFonts w:eastAsia="標楷體"/>
        </w:rPr>
      </w:pPr>
      <w:r>
        <w:rPr>
          <w:rFonts w:eastAsia="標楷體"/>
        </w:rPr>
        <w:t>一、發布及編製機關單位</w:t>
      </w:r>
    </w:p>
    <w:p w:rsidR="004E37F9" w:rsidRDefault="00D77C99">
      <w:pPr>
        <w:pStyle w:val="Standard"/>
        <w:spacing w:line="0" w:lineRule="atLeast"/>
        <w:ind w:left="480" w:hanging="240"/>
        <w:jc w:val="both"/>
      </w:pPr>
      <w:r>
        <w:rPr>
          <w:rFonts w:eastAsia="標楷體"/>
        </w:rPr>
        <w:t>＊發布機關：臺中市政府水利局會計室</w:t>
      </w:r>
    </w:p>
    <w:p w:rsidR="004E37F9" w:rsidRDefault="00D77C99">
      <w:pPr>
        <w:pStyle w:val="Standard"/>
        <w:spacing w:line="0" w:lineRule="atLeast"/>
        <w:ind w:left="480" w:hanging="240"/>
        <w:jc w:val="both"/>
      </w:pPr>
      <w:r>
        <w:rPr>
          <w:rFonts w:eastAsia="標楷體"/>
        </w:rPr>
        <w:t>＊編製單位：臺中市政府水利局水利管理科</w:t>
      </w:r>
    </w:p>
    <w:p w:rsidR="004E37F9" w:rsidRDefault="00D77C99">
      <w:pPr>
        <w:pStyle w:val="Standard"/>
        <w:spacing w:line="0" w:lineRule="atLeast"/>
        <w:ind w:left="480" w:hanging="240"/>
        <w:jc w:val="both"/>
      </w:pPr>
      <w:r>
        <w:rPr>
          <w:rFonts w:eastAsia="標楷體"/>
        </w:rPr>
        <w:t>＊聯絡電話：</w:t>
      </w:r>
      <w:r>
        <w:rPr>
          <w:rFonts w:eastAsia="標楷體"/>
        </w:rPr>
        <w:t>04-22289111#53319</w:t>
      </w:r>
    </w:p>
    <w:p w:rsidR="004E37F9" w:rsidRDefault="00D77C99">
      <w:pPr>
        <w:pStyle w:val="Standard"/>
        <w:spacing w:line="0" w:lineRule="atLeast"/>
        <w:ind w:left="480" w:hanging="240"/>
        <w:jc w:val="both"/>
      </w:pPr>
      <w:r>
        <w:rPr>
          <w:rFonts w:eastAsia="標楷體"/>
        </w:rPr>
        <w:t>＊電子信箱：</w:t>
      </w:r>
      <w:hyperlink r:id="rId7" w:history="1">
        <w:r>
          <w:rPr>
            <w:rStyle w:val="Internetlink"/>
            <w:rFonts w:ascii="Arial" w:hAnsi="Arial" w:cs="Arial"/>
            <w:color w:val="000000"/>
            <w:szCs w:val="24"/>
          </w:rPr>
          <w:t>rooroo5330@taichung.gov.tw</w:t>
        </w:r>
      </w:hyperlink>
    </w:p>
    <w:p w:rsidR="004E37F9" w:rsidRDefault="00D77C99">
      <w:pPr>
        <w:pStyle w:val="Standard"/>
        <w:spacing w:line="0" w:lineRule="atLeast"/>
        <w:ind w:left="540" w:hanging="540"/>
        <w:jc w:val="both"/>
      </w:pPr>
      <w:r>
        <w:rPr>
          <w:rFonts w:eastAsia="標楷體"/>
        </w:rPr>
        <w:t>二、發布形式</w:t>
      </w:r>
    </w:p>
    <w:p w:rsidR="004E37F9" w:rsidRDefault="00D77C99">
      <w:pPr>
        <w:pStyle w:val="Standard"/>
        <w:numPr>
          <w:ilvl w:val="0"/>
          <w:numId w:val="4"/>
        </w:numPr>
        <w:spacing w:line="320" w:lineRule="exact"/>
        <w:jc w:val="both"/>
        <w:rPr>
          <w:rFonts w:ascii="標楷體" w:eastAsia="標楷體" w:hAnsi="標楷體"/>
        </w:rPr>
      </w:pPr>
      <w:r>
        <w:rPr>
          <w:rFonts w:ascii="標楷體" w:eastAsia="標楷體" w:hAnsi="標楷體"/>
        </w:rPr>
        <w:t>口頭：</w:t>
      </w:r>
    </w:p>
    <w:p w:rsidR="004E37F9" w:rsidRDefault="00D77C99">
      <w:pPr>
        <w:pStyle w:val="Standard"/>
        <w:spacing w:line="320" w:lineRule="exact"/>
        <w:ind w:left="616" w:hanging="616"/>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）記者會或說明會</w:t>
      </w:r>
    </w:p>
    <w:p w:rsidR="004E37F9" w:rsidRDefault="00D77C99">
      <w:pPr>
        <w:pStyle w:val="Standard"/>
        <w:numPr>
          <w:ilvl w:val="0"/>
          <w:numId w:val="5"/>
        </w:numPr>
        <w:spacing w:line="320" w:lineRule="exact"/>
        <w:jc w:val="both"/>
        <w:rPr>
          <w:rFonts w:ascii="標楷體" w:eastAsia="標楷體" w:hAnsi="標楷體"/>
        </w:rPr>
      </w:pPr>
      <w:r>
        <w:rPr>
          <w:rFonts w:ascii="標楷體" w:eastAsia="標楷體" w:hAnsi="標楷體"/>
        </w:rPr>
        <w:t>書面：</w:t>
      </w:r>
    </w:p>
    <w:p w:rsidR="004E37F9" w:rsidRDefault="00D77C99">
      <w:pPr>
        <w:pStyle w:val="Standard"/>
        <w:spacing w:line="320" w:lineRule="exact"/>
        <w:ind w:left="616" w:hanging="332"/>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）書刊，刊名：</w:t>
      </w:r>
    </w:p>
    <w:p w:rsidR="004E37F9" w:rsidRDefault="00D77C99">
      <w:pPr>
        <w:pStyle w:val="Standard"/>
        <w:spacing w:line="320" w:lineRule="exact"/>
        <w:ind w:left="616" w:hanging="332"/>
        <w:jc w:val="both"/>
        <w:rPr>
          <w:rFonts w:ascii="標楷體" w:eastAsia="標楷體" w:hAnsi="標楷體"/>
        </w:rPr>
      </w:pPr>
      <w:r>
        <w:rPr>
          <w:rFonts w:ascii="標楷體" w:eastAsia="標楷體" w:hAnsi="標楷體"/>
        </w:rPr>
        <w:t>＊電子媒體：</w:t>
      </w:r>
    </w:p>
    <w:p w:rsidR="004E37F9" w:rsidRDefault="00D77C99">
      <w:pPr>
        <w:pStyle w:val="Standard"/>
        <w:spacing w:line="320" w:lineRule="exact"/>
        <w:ind w:left="616" w:firstLine="93"/>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）線上書刊及資料庫，網址：</w:t>
      </w:r>
    </w:p>
    <w:p w:rsidR="004E37F9" w:rsidRDefault="00D77C99">
      <w:pPr>
        <w:pStyle w:val="Standard"/>
        <w:spacing w:line="320" w:lineRule="exact"/>
        <w:ind w:left="616" w:firstLine="93"/>
        <w:jc w:val="both"/>
      </w:pPr>
      <w:r>
        <w:rPr>
          <w:rFonts w:ascii="標楷體" w:eastAsia="標楷體" w:hAnsi="標楷體"/>
        </w:rPr>
        <w:t>（</w:t>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Wingdings" w:eastAsia="Wingdings" w:hAnsi="Wingdings" w:cs="Wingdings"/>
        </w:rPr>
        <w:t></w:t>
      </w:r>
      <w:r>
        <w:rPr>
          <w:rFonts w:ascii="標楷體" w:eastAsia="標楷體" w:hAnsi="標楷體"/>
        </w:rPr>
        <w:t xml:space="preserve"> </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rsidR="004E37F9" w:rsidRDefault="00D77C99">
      <w:pPr>
        <w:pStyle w:val="Standard"/>
        <w:spacing w:line="0" w:lineRule="atLeast"/>
        <w:ind w:left="480" w:hanging="240"/>
        <w:jc w:val="both"/>
        <w:rPr>
          <w:rFonts w:ascii="標楷體" w:eastAsia="標楷體" w:hAnsi="標楷體"/>
        </w:rPr>
      </w:pPr>
      <w:r>
        <w:rPr>
          <w:rFonts w:ascii="標楷體" w:eastAsia="標楷體" w:hAnsi="標楷體"/>
        </w:rPr>
        <w:t>三、資料範圍、週期及時效</w:t>
      </w:r>
    </w:p>
    <w:p w:rsidR="004E37F9" w:rsidRDefault="00D77C99">
      <w:pPr>
        <w:pStyle w:val="Standard"/>
        <w:spacing w:line="0" w:lineRule="atLeast"/>
        <w:ind w:left="480" w:hanging="240"/>
        <w:jc w:val="both"/>
      </w:pPr>
      <w:r>
        <w:rPr>
          <w:rFonts w:eastAsia="標楷體"/>
        </w:rPr>
        <w:t>＊統計地區範圍及對象：</w:t>
      </w:r>
      <w:r>
        <w:rPr>
          <w:rFonts w:eastAsia="標楷體"/>
          <w:szCs w:val="24"/>
        </w:rPr>
        <w:t>凡依水利法第</w:t>
      </w:r>
      <w:r>
        <w:rPr>
          <w:rFonts w:eastAsia="標楷體"/>
          <w:szCs w:val="24"/>
        </w:rPr>
        <w:t>63</w:t>
      </w:r>
      <w:r>
        <w:rPr>
          <w:rFonts w:eastAsia="標楷體"/>
          <w:szCs w:val="24"/>
        </w:rPr>
        <w:t>之</w:t>
      </w:r>
      <w:r>
        <w:rPr>
          <w:rFonts w:eastAsia="標楷體"/>
          <w:szCs w:val="24"/>
        </w:rPr>
        <w:t>5</w:t>
      </w:r>
      <w:r>
        <w:rPr>
          <w:rFonts w:eastAsia="標楷體"/>
          <w:szCs w:val="24"/>
        </w:rPr>
        <w:t>條、第</w:t>
      </w:r>
      <w:r>
        <w:rPr>
          <w:rFonts w:eastAsia="標楷體"/>
          <w:szCs w:val="24"/>
        </w:rPr>
        <w:t>78</w:t>
      </w:r>
      <w:r>
        <w:rPr>
          <w:rFonts w:eastAsia="標楷體"/>
          <w:szCs w:val="24"/>
        </w:rPr>
        <w:t>之</w:t>
      </w:r>
      <w:r>
        <w:rPr>
          <w:rFonts w:eastAsia="標楷體"/>
          <w:szCs w:val="24"/>
        </w:rPr>
        <w:t>1</w:t>
      </w:r>
      <w:r>
        <w:rPr>
          <w:rFonts w:eastAsia="標楷體"/>
          <w:szCs w:val="24"/>
        </w:rPr>
        <w:t>條</w:t>
      </w:r>
      <w:r>
        <w:rPr>
          <w:rFonts w:eastAsia="標楷體"/>
          <w:szCs w:val="24"/>
        </w:rPr>
        <w:t>(</w:t>
      </w:r>
      <w:r>
        <w:rPr>
          <w:rFonts w:eastAsia="標楷體"/>
          <w:szCs w:val="24"/>
        </w:rPr>
        <w:t>該條文第</w:t>
      </w:r>
      <w:r>
        <w:rPr>
          <w:rFonts w:eastAsia="標楷體"/>
          <w:szCs w:val="24"/>
        </w:rPr>
        <w:t>1</w:t>
      </w:r>
      <w:r>
        <w:rPr>
          <w:rFonts w:eastAsia="標楷體"/>
          <w:szCs w:val="24"/>
        </w:rPr>
        <w:t>項第</w:t>
      </w:r>
      <w:r>
        <w:rPr>
          <w:rFonts w:eastAsia="標楷體"/>
          <w:szCs w:val="24"/>
        </w:rPr>
        <w:t>7</w:t>
      </w:r>
      <w:r>
        <w:rPr>
          <w:rFonts w:eastAsia="標楷體"/>
          <w:szCs w:val="24"/>
        </w:rPr>
        <w:t>款規定參照河川管理辦法第</w:t>
      </w:r>
      <w:r>
        <w:rPr>
          <w:rFonts w:eastAsia="標楷體"/>
          <w:szCs w:val="24"/>
        </w:rPr>
        <w:t>28</w:t>
      </w:r>
      <w:r>
        <w:rPr>
          <w:rFonts w:eastAsia="標楷體"/>
          <w:szCs w:val="24"/>
        </w:rPr>
        <w:t>條</w:t>
      </w:r>
      <w:r>
        <w:rPr>
          <w:rFonts w:eastAsia="標楷體"/>
          <w:szCs w:val="24"/>
        </w:rPr>
        <w:t>)</w:t>
      </w:r>
      <w:r>
        <w:rPr>
          <w:rFonts w:eastAsia="標楷體"/>
          <w:szCs w:val="24"/>
        </w:rPr>
        <w:t>、第</w:t>
      </w:r>
      <w:r>
        <w:rPr>
          <w:rFonts w:eastAsia="標楷體"/>
          <w:szCs w:val="24"/>
        </w:rPr>
        <w:t>78</w:t>
      </w:r>
      <w:r>
        <w:rPr>
          <w:rFonts w:eastAsia="標楷體"/>
          <w:szCs w:val="24"/>
        </w:rPr>
        <w:t>之</w:t>
      </w:r>
      <w:r>
        <w:rPr>
          <w:rFonts w:eastAsia="標楷體"/>
          <w:szCs w:val="24"/>
        </w:rPr>
        <w:t>3</w:t>
      </w:r>
      <w:r>
        <w:rPr>
          <w:rFonts w:eastAsia="標楷體"/>
          <w:szCs w:val="24"/>
        </w:rPr>
        <w:t>條規定，經許可使用之河川</w:t>
      </w:r>
      <w:r>
        <w:rPr>
          <w:rFonts w:eastAsia="標楷體"/>
          <w:sz w:val="32"/>
          <w:szCs w:val="32"/>
        </w:rPr>
        <w:t>、</w:t>
      </w:r>
      <w:r>
        <w:rPr>
          <w:rFonts w:eastAsia="標楷體"/>
          <w:szCs w:val="24"/>
        </w:rPr>
        <w:t>排水、海堤公地，其使用行為、面積、長度、土石核准採取數量及以前年度未依規定期限繳交使用費於本年度徵收情形，均為統計對象。</w:t>
      </w:r>
    </w:p>
    <w:p w:rsidR="004E37F9" w:rsidRDefault="00D77C99">
      <w:pPr>
        <w:pStyle w:val="Standard"/>
        <w:spacing w:line="0" w:lineRule="atLeast"/>
        <w:ind w:left="480" w:hanging="240"/>
        <w:jc w:val="both"/>
      </w:pPr>
      <w:r>
        <w:rPr>
          <w:rFonts w:eastAsia="標楷體"/>
        </w:rPr>
        <w:t>＊統計標準時間：以每年</w:t>
      </w:r>
      <w:r>
        <w:rPr>
          <w:rFonts w:eastAsia="標楷體"/>
        </w:rPr>
        <w:t>1</w:t>
      </w:r>
      <w:r>
        <w:rPr>
          <w:rFonts w:eastAsia="標楷體"/>
        </w:rPr>
        <w:t>月</w:t>
      </w:r>
      <w:r>
        <w:rPr>
          <w:rFonts w:eastAsia="標楷體"/>
        </w:rPr>
        <w:t>1</w:t>
      </w:r>
      <w:r>
        <w:rPr>
          <w:rFonts w:eastAsia="標楷體"/>
        </w:rPr>
        <w:t>日至</w:t>
      </w:r>
      <w:r>
        <w:rPr>
          <w:rFonts w:eastAsia="標楷體"/>
        </w:rPr>
        <w:t>12</w:t>
      </w:r>
      <w:r>
        <w:rPr>
          <w:rFonts w:eastAsia="標楷體"/>
        </w:rPr>
        <w:t>月底之事實為準。</w:t>
      </w:r>
    </w:p>
    <w:p w:rsidR="004E37F9" w:rsidRDefault="00D77C99">
      <w:pPr>
        <w:pStyle w:val="Standard"/>
        <w:spacing w:line="0" w:lineRule="atLeast"/>
        <w:ind w:left="480" w:hanging="240"/>
        <w:jc w:val="both"/>
        <w:rPr>
          <w:rFonts w:eastAsia="標楷體"/>
        </w:rPr>
      </w:pPr>
      <w:r>
        <w:rPr>
          <w:rFonts w:eastAsia="標楷體"/>
        </w:rPr>
        <w:t>＊統計項目定義：</w:t>
      </w:r>
    </w:p>
    <w:p w:rsidR="004E37F9" w:rsidRDefault="00D77C99">
      <w:pPr>
        <w:pStyle w:val="Standard"/>
        <w:spacing w:line="0" w:lineRule="atLeast"/>
        <w:ind w:left="480" w:hanging="240"/>
        <w:jc w:val="both"/>
      </w:pPr>
      <w:r>
        <w:rPr>
          <w:rFonts w:ascii="標楷體" w:eastAsia="標楷體" w:hAnsi="標楷體" w:cs="標楷體"/>
        </w:rPr>
        <w:t xml:space="preserve">     (</w:t>
      </w:r>
      <w:r>
        <w:rPr>
          <w:rFonts w:ascii="標楷體" w:eastAsia="標楷體" w:hAnsi="標楷體" w:cs="標楷體"/>
        </w:rPr>
        <w:t>一</w:t>
      </w:r>
      <w:r>
        <w:rPr>
          <w:rFonts w:ascii="標楷體" w:eastAsia="標楷體" w:hAnsi="標楷體" w:cs="標楷體"/>
        </w:rPr>
        <w:t>)</w:t>
      </w:r>
      <w:r>
        <w:rPr>
          <w:rFonts w:ascii="標楷體" w:eastAsia="標楷體" w:hAnsi="標楷體" w:cs="標楷體"/>
        </w:rPr>
        <w:t>種植：係指經許可種植植物使用之公地。</w:t>
      </w:r>
    </w:p>
    <w:p w:rsidR="004E37F9" w:rsidRDefault="00D77C99">
      <w:pPr>
        <w:pStyle w:val="Standard"/>
        <w:spacing w:line="0" w:lineRule="atLeast"/>
        <w:ind w:left="480" w:hanging="240"/>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養殖：係指經許可圍築魚塭、插、吊蚵使用之公地。</w:t>
      </w:r>
    </w:p>
    <w:p w:rsidR="004E37F9" w:rsidRDefault="00D77C99">
      <w:pPr>
        <w:pStyle w:val="Standard"/>
        <w:spacing w:line="0" w:lineRule="atLeast"/>
        <w:ind w:left="480" w:hanging="240"/>
        <w:jc w:val="both"/>
      </w:pPr>
      <w:r>
        <w:rPr>
          <w:rFonts w:ascii="標楷體" w:eastAsia="標楷體" w:hAnsi="標楷體" w:cs="標楷體"/>
        </w:rPr>
        <w:t xml:space="preserve">     (</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土石採取：</w:t>
      </w:r>
      <w:r>
        <w:rPr>
          <w:rFonts w:ascii="標楷體" w:eastAsia="標楷體" w:hAnsi="標楷體" w:cs="標楷體"/>
          <w:szCs w:val="24"/>
        </w:rPr>
        <w:t>係指經許可採取土石</w:t>
      </w:r>
      <w:r>
        <w:rPr>
          <w:rFonts w:ascii="¼Ð·¢Åé, Arial" w:eastAsia="標楷體" w:hAnsi="¼Ð·¢Åé, Arial" w:cs="¼Ð·¢Åé, Arial"/>
          <w:szCs w:val="24"/>
        </w:rPr>
        <w:t>(</w:t>
      </w:r>
      <w:r>
        <w:rPr>
          <w:rFonts w:ascii="標楷體" w:eastAsia="標楷體" w:hAnsi="標楷體" w:cs="標楷體"/>
          <w:szCs w:val="24"/>
        </w:rPr>
        <w:t>含疏濬</w:t>
      </w:r>
      <w:r>
        <w:rPr>
          <w:rFonts w:ascii="¼Ð·¢Åé, Arial" w:eastAsia="標楷體" w:hAnsi="¼Ð·¢Åé, Arial" w:cs="¼Ð·¢Åé, Arial"/>
          <w:szCs w:val="24"/>
        </w:rPr>
        <w:t>)</w:t>
      </w:r>
      <w:r>
        <w:rPr>
          <w:rFonts w:ascii="標楷體" w:eastAsia="標楷體" w:hAnsi="標楷體" w:cs="標楷體"/>
          <w:szCs w:val="24"/>
        </w:rPr>
        <w:t>使用之公地。</w:t>
      </w:r>
    </w:p>
    <w:p w:rsidR="004E37F9" w:rsidRDefault="00D77C99">
      <w:pPr>
        <w:pStyle w:val="Standard"/>
        <w:spacing w:line="0" w:lineRule="atLeast"/>
        <w:ind w:left="480" w:hanging="240"/>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一般：係指經許可種植、養殖、土石採取以外之使用行為統稱之。</w:t>
      </w:r>
    </w:p>
    <w:p w:rsidR="004E37F9" w:rsidRDefault="00D77C99">
      <w:pPr>
        <w:pStyle w:val="Standard"/>
        <w:spacing w:line="0" w:lineRule="atLeast"/>
        <w:ind w:left="480" w:hanging="240"/>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水田：係指利用灌溉設施引水種植水稻之耕地</w:t>
      </w:r>
      <w:r>
        <w:rPr>
          <w:rFonts w:ascii="標楷體" w:eastAsia="標楷體" w:hAnsi="標楷體" w:cs="標楷體"/>
        </w:rPr>
        <w:t>。</w:t>
      </w:r>
    </w:p>
    <w:p w:rsidR="004E37F9" w:rsidRDefault="00D77C99">
      <w:pPr>
        <w:pStyle w:val="Standard"/>
        <w:spacing w:line="0" w:lineRule="atLeast"/>
        <w:ind w:left="480" w:hanging="240"/>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旱田：係指常年種植旱作物之耕地。</w:t>
      </w:r>
    </w:p>
    <w:p w:rsidR="004E37F9" w:rsidRDefault="00D77C99">
      <w:pPr>
        <w:pStyle w:val="Standard"/>
        <w:spacing w:line="0" w:lineRule="atLeast"/>
        <w:ind w:left="2040" w:hanging="1800"/>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七</w:t>
      </w:r>
      <w:r>
        <w:rPr>
          <w:rFonts w:ascii="標楷體" w:eastAsia="標楷體" w:hAnsi="標楷體" w:cs="標楷體"/>
        </w:rPr>
        <w:t>)</w:t>
      </w:r>
      <w:r>
        <w:rPr>
          <w:rFonts w:ascii="標楷體" w:eastAsia="標楷體" w:hAnsi="標楷體" w:cs="標楷體"/>
        </w:rPr>
        <w:t>應收：係指經許可使用應予徵收使用費金額之總數，亦即開立繳納使用費聯單應收金額之總數，但災欠款除外。</w:t>
      </w:r>
    </w:p>
    <w:p w:rsidR="004E37F9" w:rsidRDefault="00D77C99">
      <w:pPr>
        <w:pStyle w:val="Standard"/>
        <w:spacing w:line="0" w:lineRule="atLeast"/>
        <w:ind w:left="480" w:hanging="240"/>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八</w:t>
      </w:r>
      <w:r>
        <w:rPr>
          <w:rFonts w:ascii="標楷體" w:eastAsia="標楷體" w:hAnsi="標楷體" w:cs="標楷體"/>
        </w:rPr>
        <w:t>)</w:t>
      </w:r>
      <w:r>
        <w:rPr>
          <w:rFonts w:ascii="標楷體" w:eastAsia="標楷體" w:hAnsi="標楷體" w:cs="標楷體"/>
        </w:rPr>
        <w:t>實收：係指使用人持繳納聯單至指定代收公庫繳納金額之總數（含滯納金）。</w:t>
      </w:r>
    </w:p>
    <w:p w:rsidR="004E37F9" w:rsidRDefault="00D77C99">
      <w:pPr>
        <w:pStyle w:val="Standard"/>
        <w:spacing w:line="0" w:lineRule="atLeast"/>
        <w:ind w:left="480" w:hanging="240"/>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九</w:t>
      </w:r>
      <w:r>
        <w:rPr>
          <w:rFonts w:ascii="標楷體" w:eastAsia="標楷體" w:hAnsi="標楷體" w:cs="標楷體"/>
        </w:rPr>
        <w:t>)</w:t>
      </w:r>
      <w:r>
        <w:rPr>
          <w:rFonts w:ascii="標楷體" w:eastAsia="標楷體" w:hAnsi="標楷體" w:cs="標楷體"/>
        </w:rPr>
        <w:t>滯納金：係指未依規定期限內繳納，依各相關規定應予加收之金額。</w:t>
      </w:r>
    </w:p>
    <w:p w:rsidR="004E37F9" w:rsidRDefault="00D77C99">
      <w:pPr>
        <w:pStyle w:val="Standard"/>
        <w:spacing w:line="0" w:lineRule="atLeast"/>
        <w:ind w:left="480" w:hanging="240"/>
        <w:jc w:val="both"/>
      </w:pPr>
      <w:r>
        <w:rPr>
          <w:rFonts w:ascii="標楷體" w:eastAsia="標楷體" w:hAnsi="標楷體" w:cs="標楷體"/>
        </w:rPr>
        <w:t xml:space="preserve">     (</w:t>
      </w:r>
      <w:r>
        <w:rPr>
          <w:rFonts w:ascii="標楷體" w:eastAsia="標楷體" w:hAnsi="標楷體" w:cs="標楷體"/>
        </w:rPr>
        <w:t>十</w:t>
      </w:r>
      <w:r>
        <w:rPr>
          <w:rFonts w:ascii="標楷體" w:eastAsia="標楷體" w:hAnsi="標楷體" w:cs="標楷體"/>
        </w:rPr>
        <w:t>)</w:t>
      </w:r>
      <w:r>
        <w:rPr>
          <w:rFonts w:ascii="標楷體" w:eastAsia="標楷體" w:hAnsi="標楷體" w:cs="標楷體"/>
        </w:rPr>
        <w:t>未收數：係指欠繳金額</w:t>
      </w:r>
      <w:r>
        <w:rPr>
          <w:rFonts w:ascii="標楷體" w:eastAsia="標楷體" w:hAnsi="標楷體" w:cs="標楷體"/>
        </w:rPr>
        <w:t>{</w:t>
      </w:r>
      <w:r>
        <w:rPr>
          <w:rFonts w:ascii="標楷體" w:eastAsia="標楷體" w:hAnsi="標楷體" w:cs="標楷體"/>
        </w:rPr>
        <w:t>未收數</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應收</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實收</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滯納金</w:t>
      </w:r>
      <w:r>
        <w:rPr>
          <w:rFonts w:ascii="標楷體" w:eastAsia="標楷體" w:hAnsi="標楷體" w:cs="標楷體"/>
        </w:rPr>
        <w:t>]}</w:t>
      </w:r>
      <w:r>
        <w:rPr>
          <w:rFonts w:ascii="標楷體" w:eastAsia="標楷體" w:hAnsi="標楷體" w:cs="標楷體"/>
        </w:rPr>
        <w:t>。</w:t>
      </w:r>
    </w:p>
    <w:p w:rsidR="004E37F9" w:rsidRDefault="00D77C99">
      <w:pPr>
        <w:pStyle w:val="Standard"/>
        <w:spacing w:line="0" w:lineRule="atLeast"/>
        <w:ind w:left="480" w:hanging="240"/>
        <w:jc w:val="both"/>
      </w:pPr>
      <w:r>
        <w:rPr>
          <w:rFonts w:eastAsia="標楷體"/>
        </w:rPr>
        <w:t>＊統計單位：公頃、立方公尺、新臺幣元。</w:t>
      </w:r>
    </w:p>
    <w:p w:rsidR="004E37F9" w:rsidRDefault="00D77C99">
      <w:pPr>
        <w:pStyle w:val="Standard"/>
        <w:spacing w:line="0" w:lineRule="atLeast"/>
        <w:ind w:left="480" w:hanging="240"/>
        <w:jc w:val="both"/>
        <w:rPr>
          <w:rFonts w:eastAsia="標楷體"/>
        </w:rPr>
      </w:pPr>
      <w:r>
        <w:rPr>
          <w:rFonts w:eastAsia="標楷體"/>
        </w:rPr>
        <w:t>＊統計分類：</w:t>
      </w:r>
    </w:p>
    <w:p w:rsidR="004E37F9" w:rsidRDefault="00D77C99">
      <w:pPr>
        <w:pStyle w:val="Standard"/>
        <w:spacing w:line="0" w:lineRule="atLeast"/>
        <w:ind w:left="480" w:hanging="240"/>
        <w:jc w:val="both"/>
      </w:pPr>
      <w:r>
        <w:rPr>
          <w:rFonts w:ascii="標楷體" w:eastAsia="標楷體" w:hAnsi="標楷體" w:cs="標楷體"/>
        </w:rPr>
        <w:t>(</w:t>
      </w:r>
      <w:r>
        <w:rPr>
          <w:rFonts w:ascii="標楷體" w:eastAsia="標楷體" w:hAnsi="標楷體" w:cs="標楷體"/>
        </w:rPr>
        <w:t>一</w:t>
      </w:r>
      <w:r>
        <w:rPr>
          <w:rFonts w:ascii="標楷體" w:eastAsia="標楷體" w:hAnsi="標楷體" w:cs="標楷體"/>
        </w:rPr>
        <w:t>)</w:t>
      </w:r>
      <w:r>
        <w:rPr>
          <w:rFonts w:ascii="標楷體" w:eastAsia="標楷體" w:hAnsi="標楷體" w:cs="標楷體"/>
        </w:rPr>
        <w:t>縱項目：分為總計、種植、養殖、土石採取及一般等項。總計分為面積、金額；金額再分為應收、實收、未收數；實收再分滯納金；種植分為水田、旱田部分；水田部分分為面積、金額；金額再分為應收、實收、未收數；實收再分滯納金；旱田部分分為面積、金額；金額再分為應收、實收、未收數；實收再分滯納金；養殖分為面積、金額；金額再分為應收、實收、未收數；實收再分滯納金；土石採取分為面積、核准採取數量、金額；金額再分為應收、實收、未收數；實收再分滯納金；一般分為面積、長度、金額；金額再分為應收、實收、未收數；實收再分滯納金。</w:t>
      </w:r>
    </w:p>
    <w:p w:rsidR="004E37F9" w:rsidRDefault="00D77C99">
      <w:pPr>
        <w:pStyle w:val="Standard"/>
        <w:spacing w:line="0" w:lineRule="atLeast"/>
        <w:ind w:left="480" w:hanging="240"/>
        <w:jc w:val="both"/>
      </w:pP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橫項目：依河川別、排水別、海堤別依序分類。</w:t>
      </w:r>
    </w:p>
    <w:p w:rsidR="004E37F9" w:rsidRDefault="00D77C99">
      <w:pPr>
        <w:pStyle w:val="Standard"/>
        <w:spacing w:line="0" w:lineRule="atLeast"/>
        <w:ind w:left="480" w:hanging="240"/>
        <w:jc w:val="both"/>
      </w:pPr>
      <w:r>
        <w:rPr>
          <w:rFonts w:eastAsia="標楷體"/>
        </w:rPr>
        <w:t>＊發布週期（指資料編製或產生之頻率，如月、季、年等）：年</w:t>
      </w:r>
    </w:p>
    <w:p w:rsidR="004E37F9" w:rsidRDefault="00D77C99">
      <w:pPr>
        <w:pStyle w:val="Standard"/>
        <w:spacing w:line="0" w:lineRule="atLeast"/>
        <w:ind w:left="480" w:hanging="240"/>
        <w:jc w:val="both"/>
      </w:pPr>
      <w:r>
        <w:rPr>
          <w:rFonts w:eastAsia="標楷體"/>
        </w:rPr>
        <w:t>＊時效：</w:t>
      </w:r>
      <w:r>
        <w:rPr>
          <w:rFonts w:eastAsia="標楷體"/>
        </w:rPr>
        <w:t>1</w:t>
      </w:r>
      <w:r>
        <w:rPr>
          <w:rFonts w:eastAsia="標楷體"/>
        </w:rPr>
        <w:t>個月。</w:t>
      </w:r>
    </w:p>
    <w:p w:rsidR="004E37F9" w:rsidRDefault="00D77C99">
      <w:pPr>
        <w:pStyle w:val="Standard"/>
        <w:spacing w:line="0" w:lineRule="atLeast"/>
        <w:ind w:left="480" w:hanging="240"/>
        <w:jc w:val="both"/>
      </w:pPr>
      <w:r>
        <w:rPr>
          <w:rFonts w:eastAsia="標楷體"/>
        </w:rPr>
        <w:lastRenderedPageBreak/>
        <w:t>＊資料變革：無。</w:t>
      </w:r>
    </w:p>
    <w:p w:rsidR="004E37F9" w:rsidRDefault="00D77C99">
      <w:pPr>
        <w:pStyle w:val="Standard"/>
        <w:spacing w:before="240" w:line="0" w:lineRule="atLeast"/>
        <w:ind w:left="616" w:hanging="616"/>
        <w:jc w:val="both"/>
      </w:pPr>
      <w:r>
        <w:rPr>
          <w:rFonts w:eastAsia="標楷體"/>
        </w:rPr>
        <w:t>四、</w:t>
      </w:r>
      <w:r>
        <w:rPr>
          <w:rFonts w:ascii="標楷體" w:eastAsia="標楷體" w:hAnsi="標楷體"/>
        </w:rPr>
        <w:t>公開資料發布訊息</w:t>
      </w:r>
    </w:p>
    <w:p w:rsidR="004E37F9" w:rsidRDefault="00D77C99">
      <w:pPr>
        <w:pStyle w:val="Standard"/>
        <w:spacing w:line="0" w:lineRule="atLeast"/>
        <w:ind w:left="480" w:hanging="240"/>
        <w:jc w:val="both"/>
      </w:pPr>
      <w:r>
        <w:rPr>
          <w:rFonts w:eastAsia="標楷體"/>
        </w:rPr>
        <w:t>＊預告發布日期：次年</w:t>
      </w:r>
      <w:r>
        <w:rPr>
          <w:rFonts w:eastAsia="標楷體"/>
        </w:rPr>
        <w:t>1</w:t>
      </w:r>
      <w:r>
        <w:rPr>
          <w:rFonts w:eastAsia="標楷體"/>
        </w:rPr>
        <w:t>月底。</w:t>
      </w:r>
      <w:r>
        <w:rPr>
          <w:rFonts w:eastAsia="標楷體"/>
        </w:rPr>
        <w:t>(</w:t>
      </w:r>
      <w:r>
        <w:rPr>
          <w:rFonts w:eastAsia="標楷體"/>
        </w:rPr>
        <w:t>原訂預告發布日期如遇例假日或國定假日則延至下一個工作日發布</w:t>
      </w:r>
      <w:r>
        <w:rPr>
          <w:rFonts w:eastAsia="標楷體"/>
        </w:rPr>
        <w:t>)</w:t>
      </w:r>
    </w:p>
    <w:p w:rsidR="004E37F9" w:rsidRDefault="00D77C99">
      <w:pPr>
        <w:pStyle w:val="Standard"/>
        <w:spacing w:line="0" w:lineRule="atLeast"/>
        <w:ind w:left="480" w:hanging="240"/>
        <w:jc w:val="both"/>
      </w:pPr>
      <w:r>
        <w:rPr>
          <w:rFonts w:eastAsia="標楷體"/>
        </w:rPr>
        <w:t>＊同步發送單位：臺中市政府主計處。</w:t>
      </w:r>
    </w:p>
    <w:p w:rsidR="004E37F9" w:rsidRDefault="00D77C99">
      <w:pPr>
        <w:pStyle w:val="Standard"/>
        <w:spacing w:before="240" w:line="0" w:lineRule="atLeast"/>
        <w:ind w:left="616" w:hanging="616"/>
        <w:jc w:val="both"/>
        <w:rPr>
          <w:rFonts w:eastAsia="標楷體"/>
        </w:rPr>
      </w:pPr>
      <w:r>
        <w:rPr>
          <w:rFonts w:eastAsia="標楷體"/>
        </w:rPr>
        <w:t>五、資料品質</w:t>
      </w:r>
    </w:p>
    <w:p w:rsidR="004E37F9" w:rsidRDefault="00D77C99">
      <w:pPr>
        <w:pStyle w:val="Standard"/>
        <w:spacing w:line="0" w:lineRule="atLeast"/>
        <w:ind w:left="480" w:hanging="240"/>
        <w:jc w:val="both"/>
      </w:pPr>
      <w:r>
        <w:rPr>
          <w:rFonts w:eastAsia="標楷體"/>
        </w:rPr>
        <w:t>＊統計指標編製方法與資料來源說明：本局水利管理科依據「河川、排水、海堤公地許可使用費徵收情形－舊欠登記冊」相關資料彙編。</w:t>
      </w:r>
    </w:p>
    <w:p w:rsidR="004E37F9" w:rsidRDefault="00D77C99">
      <w:pPr>
        <w:pStyle w:val="Standard"/>
        <w:spacing w:line="0" w:lineRule="atLeast"/>
        <w:ind w:left="480" w:hanging="240"/>
        <w:jc w:val="both"/>
      </w:pPr>
      <w:r>
        <w:rPr>
          <w:rFonts w:eastAsia="標楷體"/>
        </w:rPr>
        <w:t>＊統計資料交叉查核及確保資料合理性之機制：業務單位、會計室、經濟部水利署交叉查核確保</w:t>
      </w:r>
      <w:r>
        <w:rPr>
          <w:rFonts w:eastAsia="標楷體"/>
        </w:rPr>
        <w:t>資料合理性。</w:t>
      </w:r>
    </w:p>
    <w:p w:rsidR="004E37F9" w:rsidRDefault="00D77C99">
      <w:pPr>
        <w:pStyle w:val="Standard"/>
        <w:tabs>
          <w:tab w:val="left" w:pos="8520"/>
        </w:tabs>
        <w:spacing w:line="0" w:lineRule="atLeast"/>
        <w:jc w:val="both"/>
      </w:pPr>
      <w:r>
        <w:rPr>
          <w:rFonts w:eastAsia="標楷體"/>
        </w:rPr>
        <w:t>六、</w:t>
      </w:r>
      <w:r>
        <w:rPr>
          <w:rFonts w:ascii="標楷體" w:eastAsia="標楷體" w:hAnsi="標楷體"/>
        </w:rPr>
        <w:t>須注意及</w:t>
      </w:r>
      <w:r>
        <w:rPr>
          <w:rFonts w:eastAsia="標楷體"/>
        </w:rPr>
        <w:t>預定改變之事項：表號</w:t>
      </w:r>
      <w:r>
        <w:rPr>
          <w:rFonts w:eastAsia="標楷體"/>
        </w:rPr>
        <w:t>11242-03-03-2</w:t>
      </w:r>
      <w:r>
        <w:rPr>
          <w:rFonts w:eastAsia="標楷體"/>
        </w:rPr>
        <w:t>。</w:t>
      </w:r>
    </w:p>
    <w:p w:rsidR="004E37F9" w:rsidRDefault="00D77C99">
      <w:pPr>
        <w:pStyle w:val="Standard"/>
        <w:tabs>
          <w:tab w:val="left" w:pos="8520"/>
        </w:tabs>
        <w:spacing w:line="0" w:lineRule="atLeast"/>
        <w:jc w:val="both"/>
        <w:rPr>
          <w:rFonts w:eastAsia="標楷體"/>
        </w:rPr>
      </w:pPr>
      <w:r>
        <w:rPr>
          <w:rFonts w:eastAsia="標楷體"/>
        </w:rPr>
        <w:t>七、其他事項：無。</w:t>
      </w:r>
    </w:p>
    <w:p w:rsidR="004E37F9" w:rsidRDefault="004E37F9">
      <w:pPr>
        <w:pStyle w:val="Standard"/>
      </w:pPr>
    </w:p>
    <w:sectPr w:rsidR="004E37F9">
      <w:pgSz w:w="11906" w:h="16838"/>
      <w:pgMar w:top="709"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77C99">
      <w:pPr>
        <w:rPr>
          <w:rFonts w:hint="eastAsia"/>
        </w:rPr>
      </w:pPr>
      <w:r>
        <w:separator/>
      </w:r>
    </w:p>
  </w:endnote>
  <w:endnote w:type="continuationSeparator" w:id="0">
    <w:p w:rsidR="00000000" w:rsidRDefault="00D77C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TW">
    <w:altName w:val="Calibri"/>
    <w:charset w:val="00"/>
    <w:family w:val="auto"/>
    <w:pitch w:val="variable"/>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¼Ð·¢Åé, Arial">
    <w:altName w:val="Calibri"/>
    <w:charset w:val="00"/>
    <w:family w:val="swiss"/>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77C99">
      <w:pPr>
        <w:rPr>
          <w:rFonts w:hint="eastAsia"/>
        </w:rPr>
      </w:pPr>
      <w:r>
        <w:rPr>
          <w:color w:val="000000"/>
        </w:rPr>
        <w:separator/>
      </w:r>
    </w:p>
  </w:footnote>
  <w:footnote w:type="continuationSeparator" w:id="0">
    <w:p w:rsidR="00000000" w:rsidRDefault="00D77C9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D2FAD"/>
    <w:multiLevelType w:val="multilevel"/>
    <w:tmpl w:val="6A0A8282"/>
    <w:styleLink w:val="WW8Num3"/>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4041AD5"/>
    <w:multiLevelType w:val="multilevel"/>
    <w:tmpl w:val="1804AA9E"/>
    <w:styleLink w:val="WW8Num2"/>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E3E6F13"/>
    <w:multiLevelType w:val="multilevel"/>
    <w:tmpl w:val="EDF68300"/>
    <w:styleLink w:val="WW8Num1"/>
    <w:lvl w:ilvl="0">
      <w:numFmt w:val="bullet"/>
      <w:lvlText w:val="＊"/>
      <w:lvlJc w:val="left"/>
      <w:pPr>
        <w:ind w:left="534" w:hanging="240"/>
      </w:pPr>
      <w:rPr>
        <w:rFonts w:ascii="標楷體" w:eastAsia="標楷體" w:hAnsi="標楷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77118592">
    <w:abstractNumId w:val="2"/>
  </w:num>
  <w:num w:numId="2" w16cid:durableId="2119055405">
    <w:abstractNumId w:val="1"/>
  </w:num>
  <w:num w:numId="3" w16cid:durableId="759789348">
    <w:abstractNumId w:val="0"/>
  </w:num>
  <w:num w:numId="4" w16cid:durableId="1420563311">
    <w:abstractNumId w:val="0"/>
    <w:lvlOverride w:ilvl="0"/>
  </w:num>
  <w:num w:numId="5" w16cid:durableId="1344553979">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E37F9"/>
    <w:rsid w:val="004E37F9"/>
    <w:rsid w:val="00D77C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EB0FC5B-1DD4-404A-8EA7-EAF80681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思源黑體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szCs w:val="24"/>
    </w:rPr>
  </w:style>
  <w:style w:type="paragraph" w:customStyle="1" w:styleId="Index">
    <w:name w:val="Index"/>
    <w:basedOn w:val="Standard"/>
    <w:pPr>
      <w:suppressLineNumbers/>
    </w:pPr>
    <w:rPr>
      <w:rFonts w:cs="思源黑體 TW"/>
    </w:rPr>
  </w:style>
  <w:style w:type="paragraph" w:styleId="a5">
    <w:name w:val="annotation text"/>
    <w:basedOn w:val="Standard"/>
  </w:style>
  <w:style w:type="paragraph" w:styleId="a6">
    <w:name w:val="Balloon Text"/>
    <w:basedOn w:val="Standard"/>
    <w:rPr>
      <w:rFonts w:ascii="Arial" w:eastAsia="Arial" w:hAnsi="Arial" w:cs="Arial"/>
      <w:sz w:val="18"/>
      <w:szCs w:val="18"/>
    </w:rPr>
  </w:style>
  <w:style w:type="paragraph" w:styleId="a7">
    <w:name w:val="Plain Text"/>
    <w:basedOn w:val="Standard"/>
    <w:rPr>
      <w:rFonts w:ascii="細明體, MingLiU" w:eastAsia="細明體, MingLiU" w:hAnsi="細明體, MingLiU" w:cs="Courier New"/>
    </w:rPr>
  </w:style>
  <w:style w:type="paragraph" w:styleId="a8">
    <w:name w:val="header"/>
    <w:basedOn w:val="Standard"/>
    <w:pPr>
      <w:tabs>
        <w:tab w:val="center" w:pos="4153"/>
        <w:tab w:val="right" w:pos="8306"/>
      </w:tabs>
      <w:snapToGrid w:val="0"/>
    </w:pPr>
    <w:rPr>
      <w:sz w:val="20"/>
    </w:rPr>
  </w:style>
  <w:style w:type="paragraph" w:styleId="a9">
    <w:name w:val="footer"/>
    <w:basedOn w:val="Standard"/>
    <w:pPr>
      <w:tabs>
        <w:tab w:val="center" w:pos="4153"/>
        <w:tab w:val="right" w:pos="8306"/>
      </w:tabs>
      <w:snapToGrid w:val="0"/>
    </w:pPr>
    <w:rPr>
      <w:sz w:val="20"/>
    </w:rPr>
  </w:style>
  <w:style w:type="character" w:customStyle="1" w:styleId="WW8Num1z0">
    <w:name w:val="WW8Num1z0"/>
    <w:rPr>
      <w:rFonts w:ascii="標楷體" w:eastAsia="標楷體" w:hAnsi="標楷體"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rPr>
  </w:style>
  <w:style w:type="character" w:customStyle="1" w:styleId="WW8Num3z0">
    <w:name w:val="WW8Num3z0"/>
    <w:rPr>
      <w:rFonts w:ascii="標楷體" w:eastAsia="標楷體" w:hAnsi="標楷體" w:cs="Times New Roman"/>
    </w:rPr>
  </w:style>
  <w:style w:type="character" w:styleId="aa">
    <w:name w:val="annotation reference"/>
    <w:rPr>
      <w:sz w:val="18"/>
      <w:szCs w:val="18"/>
    </w:rPr>
  </w:style>
  <w:style w:type="character" w:customStyle="1" w:styleId="ab">
    <w:name w:val="頁首 字元"/>
    <w:rPr>
      <w:kern w:val="3"/>
    </w:rPr>
  </w:style>
  <w:style w:type="character" w:customStyle="1" w:styleId="ac">
    <w:name w:val="頁尾 字元"/>
    <w:rPr>
      <w:kern w:val="3"/>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mailheadertext1">
    <w:name w:val="mailheadertext1"/>
    <w:rPr>
      <w:i w:val="0"/>
      <w:iCs w:val="0"/>
      <w:color w:val="000000"/>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oroo5330@taichu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災害救助編製說明</dc:title>
  <dc:subject/>
  <dc:creator>d04</dc:creator>
  <cp:keywords/>
  <cp:lastModifiedBy>cws</cp:lastModifiedBy>
  <cp:revision>2</cp:revision>
  <dcterms:created xsi:type="dcterms:W3CDTF">2025-02-13T02:51:00Z</dcterms:created>
  <dcterms:modified xsi:type="dcterms:W3CDTF">2025-02-13T02:51:00Z</dcterms:modified>
</cp:coreProperties>
</file>