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462" w:rsidRDefault="00D84C56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:rsidR="00807462" w:rsidRDefault="00D84C56">
      <w:pPr>
        <w:pStyle w:val="Standard"/>
        <w:spacing w:line="360" w:lineRule="exact"/>
      </w:pPr>
      <w:r>
        <w:rPr>
          <w:rFonts w:eastAsia="標楷體"/>
        </w:rPr>
        <w:t>資料種類：土地統計</w:t>
      </w:r>
    </w:p>
    <w:p w:rsidR="00807462" w:rsidRDefault="00D84C56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臺中市河川、排水、海堤公地許可使用費徵收情形－總表</w:t>
      </w:r>
    </w:p>
    <w:p w:rsidR="00807462" w:rsidRDefault="00D84C56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rooroo5330@taichung.gov.tw</w:t>
        </w:r>
      </w:hyperlink>
    </w:p>
    <w:p w:rsidR="00807462" w:rsidRDefault="00D84C56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:rsidR="00807462" w:rsidRDefault="00D84C56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807462" w:rsidRDefault="00D84C56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807462" w:rsidRDefault="00D84C56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807462" w:rsidRDefault="00D84C5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807462" w:rsidRDefault="00D84C5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807462" w:rsidRDefault="00D84C56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807462" w:rsidRDefault="00D84C56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807462" w:rsidRDefault="00D84C56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＊統計地區範圍及對象：凡依水利法第</w:t>
      </w:r>
      <w:r>
        <w:rPr>
          <w:rFonts w:eastAsia="標楷體"/>
        </w:rPr>
        <w:t>63</w:t>
      </w:r>
      <w:r>
        <w:rPr>
          <w:rFonts w:eastAsia="標楷體"/>
        </w:rPr>
        <w:t>之</w:t>
      </w:r>
      <w:r>
        <w:rPr>
          <w:rFonts w:eastAsia="標楷體"/>
        </w:rPr>
        <w:t>5</w:t>
      </w:r>
      <w:r>
        <w:rPr>
          <w:rFonts w:eastAsia="標楷體"/>
        </w:rPr>
        <w:t>條、第</w:t>
      </w:r>
      <w:r>
        <w:rPr>
          <w:rFonts w:eastAsia="標楷體"/>
        </w:rPr>
        <w:t>78</w:t>
      </w:r>
      <w:r>
        <w:rPr>
          <w:rFonts w:eastAsia="標楷體"/>
        </w:rPr>
        <w:t>之</w:t>
      </w:r>
      <w:r>
        <w:rPr>
          <w:rFonts w:eastAsia="標楷體"/>
        </w:rPr>
        <w:t>1</w:t>
      </w:r>
      <w:r>
        <w:rPr>
          <w:rFonts w:eastAsia="標楷體"/>
        </w:rPr>
        <w:t>條</w:t>
      </w:r>
      <w:r>
        <w:rPr>
          <w:rFonts w:eastAsia="標楷體"/>
        </w:rPr>
        <w:t>(</w:t>
      </w:r>
      <w:r>
        <w:rPr>
          <w:rFonts w:eastAsia="標楷體"/>
        </w:rPr>
        <w:t>該條文第</w:t>
      </w:r>
      <w:r>
        <w:rPr>
          <w:rFonts w:eastAsia="標楷體"/>
        </w:rPr>
        <w:t>1</w:t>
      </w:r>
      <w:r>
        <w:rPr>
          <w:rFonts w:eastAsia="標楷體"/>
        </w:rPr>
        <w:t>項第</w:t>
      </w:r>
      <w:r>
        <w:rPr>
          <w:rFonts w:eastAsia="標楷體"/>
        </w:rPr>
        <w:t>7</w:t>
      </w:r>
      <w:r>
        <w:rPr>
          <w:rFonts w:eastAsia="標楷體"/>
        </w:rPr>
        <w:t>款規定參照河川管理辦法第</w:t>
      </w:r>
      <w:r>
        <w:rPr>
          <w:rFonts w:eastAsia="標楷體"/>
        </w:rPr>
        <w:t>28</w:t>
      </w:r>
      <w:r>
        <w:rPr>
          <w:rFonts w:eastAsia="標楷體"/>
        </w:rPr>
        <w:t>條</w:t>
      </w:r>
      <w:r>
        <w:rPr>
          <w:rFonts w:eastAsia="標楷體"/>
        </w:rPr>
        <w:t>)</w:t>
      </w:r>
      <w:r>
        <w:rPr>
          <w:rFonts w:eastAsia="標楷體"/>
        </w:rPr>
        <w:t>、第</w:t>
      </w:r>
      <w:r>
        <w:rPr>
          <w:rFonts w:eastAsia="標楷體"/>
        </w:rPr>
        <w:t>78</w:t>
      </w:r>
      <w:r>
        <w:rPr>
          <w:rFonts w:eastAsia="標楷體"/>
        </w:rPr>
        <w:t>之</w:t>
      </w:r>
      <w:r>
        <w:rPr>
          <w:rFonts w:eastAsia="標楷體"/>
        </w:rPr>
        <w:t>3</w:t>
      </w:r>
      <w:r>
        <w:rPr>
          <w:rFonts w:eastAsia="標楷體"/>
        </w:rPr>
        <w:t>條規定，經許可使用之河川、排水、海堤公地，其使用行為、面積、長度、土石核准採取數量及費用徵收情形，均為統計對象。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種植：係指經許可種植植物使用之公地。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養殖：係指經許可圍築魚塭、插、吊蚵使用之公地。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土石採取：</w:t>
      </w:r>
      <w:r>
        <w:rPr>
          <w:rFonts w:ascii="標楷體" w:eastAsia="標楷體" w:hAnsi="標楷體" w:cs="標楷體"/>
          <w:szCs w:val="24"/>
        </w:rPr>
        <w:t>係指經許可採取土石</w:t>
      </w:r>
      <w:r>
        <w:rPr>
          <w:rFonts w:ascii="¼Ð·¢Åé, Arial" w:eastAsia="標楷體" w:hAnsi="¼Ð·¢Åé, Arial" w:cs="¼Ð·¢Åé, Arial"/>
          <w:szCs w:val="24"/>
        </w:rPr>
        <w:t>(</w:t>
      </w:r>
      <w:r>
        <w:rPr>
          <w:rFonts w:ascii="標楷體" w:eastAsia="標楷體" w:hAnsi="標楷體" w:cs="標楷體"/>
          <w:szCs w:val="24"/>
        </w:rPr>
        <w:t>含疏濬</w:t>
      </w:r>
      <w:r>
        <w:rPr>
          <w:rFonts w:ascii="¼Ð·¢Åé, Arial" w:eastAsia="標楷體" w:hAnsi="¼Ð·¢Åé, Arial" w:cs="¼Ð·¢Åé, Arial"/>
          <w:szCs w:val="24"/>
        </w:rPr>
        <w:t>)</w:t>
      </w:r>
      <w:r>
        <w:rPr>
          <w:rFonts w:ascii="標楷體" w:eastAsia="標楷體" w:hAnsi="標楷體" w:cs="標楷體"/>
          <w:szCs w:val="24"/>
        </w:rPr>
        <w:t>使用之公地</w:t>
      </w:r>
      <w:r>
        <w:rPr>
          <w:rFonts w:ascii="標楷體" w:eastAsia="標楷體" w:hAnsi="標楷體" w:cs="標楷體"/>
        </w:rPr>
        <w:t>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一般</w:t>
      </w:r>
      <w:r>
        <w:rPr>
          <w:rFonts w:ascii="標楷體" w:eastAsia="標楷體" w:hAnsi="標楷體" w:cs="標楷體"/>
        </w:rPr>
        <w:t>：係指經許可種植、養殖、土石採取以外之使用行為統稱之。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水田：係指利用灌溉設施引水種植水稻之耕地。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旱田：係指常年種植旱作物之耕地。</w:t>
      </w:r>
    </w:p>
    <w:p w:rsidR="00807462" w:rsidRDefault="00D84C56">
      <w:pPr>
        <w:pStyle w:val="Standard"/>
        <w:spacing w:line="0" w:lineRule="atLeast"/>
        <w:ind w:left="2040" w:hanging="18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應收：係指經許可使用應予徵收使用費金額之總數，亦即開立繳納使用費聯單應收金額之總數，但災欠款除外。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實收：係指使用人持繳納聯單至指定代收公庫繳納金額之總數（含滯納金）。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九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滯納金：係指未依規定期限內繳納，依各相關規定應予加收之金額。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十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未收數：係指欠繳金額</w:t>
      </w:r>
      <w:r>
        <w:rPr>
          <w:rFonts w:ascii="標楷體" w:eastAsia="標楷體" w:hAnsi="標楷體" w:cs="標楷體"/>
        </w:rPr>
        <w:t>{</w:t>
      </w:r>
      <w:r>
        <w:rPr>
          <w:rFonts w:ascii="標楷體" w:eastAsia="標楷體" w:hAnsi="標楷體" w:cs="標楷體"/>
        </w:rPr>
        <w:t>未收數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＝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應收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－</w:t>
      </w:r>
      <w:r>
        <w:rPr>
          <w:rFonts w:ascii="標楷體" w:eastAsia="標楷體" w:hAnsi="標楷體" w:cs="標楷體"/>
        </w:rPr>
        <w:t xml:space="preserve"> [</w:t>
      </w:r>
      <w:r>
        <w:rPr>
          <w:rFonts w:ascii="標楷體" w:eastAsia="標楷體" w:hAnsi="標楷體" w:cs="標楷體"/>
        </w:rPr>
        <w:t>實收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－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滯納金</w:t>
      </w:r>
      <w:r>
        <w:rPr>
          <w:rFonts w:ascii="標楷體" w:eastAsia="標楷體" w:hAnsi="標楷體" w:cs="標楷體"/>
        </w:rPr>
        <w:t>]}</w:t>
      </w:r>
      <w:r>
        <w:rPr>
          <w:rFonts w:ascii="標楷體" w:eastAsia="標楷體" w:hAnsi="標楷體" w:cs="標楷體"/>
        </w:rPr>
        <w:t>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＊統計單位：公頃、立方公尺、新臺幣元。</w:t>
      </w:r>
    </w:p>
    <w:p w:rsidR="00807462" w:rsidRDefault="00D84C5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:rsidR="00807462" w:rsidRDefault="00D84C56">
      <w:pPr>
        <w:pStyle w:val="Standard"/>
        <w:spacing w:line="0" w:lineRule="atLeast"/>
        <w:ind w:left="850" w:hanging="61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縱項目</w:t>
      </w:r>
      <w:r>
        <w:rPr>
          <w:rFonts w:ascii="標楷體" w:eastAsia="標楷體" w:hAnsi="標楷體" w:cs="標楷體"/>
        </w:rPr>
        <w:t>：分為總計、種植、養殖、土石採取及一般等項。總計分為面積、金額；金額再分為應收、實收、未收數；實收再分滯納金；種植分為水田、旱田部分；水田部分分為面積、金額；金額再分為應收、實收、未收數；實收再分滯納金；旱田部分分為面積、金額；金額再分為應收、實收、未收數；實收再分滯納金；養殖分為面積、金額；金額再分為應收、實收、未收數；實收再分滯納金；土石採取分為面積、核准採取數</w:t>
      </w:r>
      <w:r>
        <w:rPr>
          <w:rFonts w:ascii="標楷體" w:eastAsia="標楷體" w:hAnsi="標楷體" w:cs="標楷體"/>
        </w:rPr>
        <w:t>量、金額；金額再分為應收、實收、未收數；實收再分滯納金；一般分為面積、長度、金額；金額再分為應收、實收、未收數；實收再分滯納金。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橫項目</w:t>
      </w:r>
      <w:r>
        <w:rPr>
          <w:rFonts w:ascii="標楷體" w:eastAsia="標楷體" w:hAnsi="標楷體" w:cs="標楷體"/>
        </w:rPr>
        <w:t>：依河川別、排水別、海堤別依序分類。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＊發布週期（指資料編製或產生之頻率，如月、季、年等）：年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:rsidR="00807462" w:rsidRDefault="00D84C56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lastRenderedPageBreak/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</w:t>
      </w:r>
      <w:r>
        <w:rPr>
          <w:rFonts w:eastAsia="Times New Roman"/>
          <w:szCs w:val="24"/>
        </w:rPr>
        <w:t xml:space="preserve">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  <w:r>
        <w:rPr>
          <w:rFonts w:eastAsia="標楷體"/>
        </w:rPr>
        <w:t>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:rsidR="00807462" w:rsidRDefault="00D84C56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＊統計指標編製方法與資料來源說明：本局水利管理科依據「河川、排水、海堤</w:t>
      </w:r>
      <w:r>
        <w:rPr>
          <w:rFonts w:eastAsia="標楷體"/>
        </w:rPr>
        <w:t>公地許可使用費徵收情形－總表登記冊」相關資料彙編。</w:t>
      </w:r>
    </w:p>
    <w:p w:rsidR="00807462" w:rsidRDefault="00D84C5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:rsidR="00807462" w:rsidRDefault="00D84C56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11242-03-01-2</w:t>
      </w:r>
      <w:r>
        <w:rPr>
          <w:rFonts w:eastAsia="標楷體"/>
        </w:rPr>
        <w:t>。</w:t>
      </w:r>
    </w:p>
    <w:p w:rsidR="00807462" w:rsidRDefault="00D84C56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:rsidR="00807462" w:rsidRDefault="00807462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807462" w:rsidRDefault="00807462">
      <w:pPr>
        <w:pStyle w:val="Standard"/>
      </w:pPr>
    </w:p>
    <w:sectPr w:rsidR="00807462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84C5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84C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¼Ð·¢Åé, Arial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84C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84C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609"/>
    <w:multiLevelType w:val="multilevel"/>
    <w:tmpl w:val="1E70F614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7D12F7"/>
    <w:multiLevelType w:val="multilevel"/>
    <w:tmpl w:val="67A6D8E6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E3075A"/>
    <w:multiLevelType w:val="multilevel"/>
    <w:tmpl w:val="7236F442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04517475">
    <w:abstractNumId w:val="1"/>
  </w:num>
  <w:num w:numId="2" w16cid:durableId="1932810187">
    <w:abstractNumId w:val="0"/>
  </w:num>
  <w:num w:numId="3" w16cid:durableId="350379237">
    <w:abstractNumId w:val="2"/>
  </w:num>
  <w:num w:numId="4" w16cid:durableId="359356491">
    <w:abstractNumId w:val="2"/>
    <w:lvlOverride w:ilvl="0"/>
  </w:num>
  <w:num w:numId="5" w16cid:durableId="112284518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7462"/>
    <w:rsid w:val="00807462"/>
    <w:rsid w:val="00D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