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33A6" w:rsidRDefault="007F7F51">
      <w:pPr>
        <w:pStyle w:val="Standard"/>
        <w:spacing w:line="0" w:lineRule="atLeast"/>
        <w:jc w:val="center"/>
        <w:rPr>
          <w:rFonts w:eastAsia="標楷體"/>
        </w:rPr>
      </w:pPr>
      <w:r>
        <w:rPr>
          <w:rFonts w:eastAsia="標楷體"/>
        </w:rPr>
        <w:t>統計資料背景說明</w:t>
      </w:r>
    </w:p>
    <w:p w:rsidR="007533A6" w:rsidRDefault="007F7F51">
      <w:pPr>
        <w:pStyle w:val="Standard"/>
        <w:spacing w:line="360" w:lineRule="exact"/>
      </w:pPr>
      <w:r>
        <w:rPr>
          <w:rFonts w:eastAsia="標楷體"/>
        </w:rPr>
        <w:t>資料種類：水及流域統計</w:t>
      </w:r>
    </w:p>
    <w:p w:rsidR="007533A6" w:rsidRDefault="007F7F51">
      <w:pPr>
        <w:pStyle w:val="Standard"/>
        <w:spacing w:line="0" w:lineRule="atLeast"/>
      </w:pPr>
      <w:r>
        <w:rPr>
          <w:rFonts w:ascii="標楷體" w:eastAsia="標楷體" w:hAnsi="標楷體"/>
          <w:spacing w:val="-4"/>
        </w:rPr>
        <w:t>資料項目：</w:t>
      </w:r>
      <w:r>
        <w:rPr>
          <w:rFonts w:eastAsia="標楷體"/>
        </w:rPr>
        <w:t>臺中市一般水權登記件數</w:t>
      </w:r>
      <w:r>
        <w:rPr>
          <w:rFonts w:eastAsia="標楷體"/>
        </w:rPr>
        <w:t>-</w:t>
      </w:r>
      <w:r>
        <w:rPr>
          <w:rFonts w:eastAsia="標楷體"/>
        </w:rPr>
        <w:t>地下水</w:t>
      </w:r>
    </w:p>
    <w:p w:rsidR="007533A6" w:rsidRDefault="007F7F51">
      <w:pPr>
        <w:pStyle w:val="Standard"/>
        <w:spacing w:line="0" w:lineRule="atLeast"/>
        <w:jc w:val="both"/>
        <w:rPr>
          <w:rFonts w:eastAsia="標楷體"/>
        </w:rPr>
      </w:pPr>
      <w:r>
        <w:rPr>
          <w:rFonts w:eastAsia="標楷體"/>
        </w:rPr>
        <w:t>一、發布及編製機關單位</w:t>
      </w:r>
    </w:p>
    <w:p w:rsidR="007533A6" w:rsidRDefault="007F7F51">
      <w:pPr>
        <w:pStyle w:val="Standard"/>
        <w:spacing w:line="0" w:lineRule="atLeast"/>
        <w:ind w:left="480" w:hanging="240"/>
        <w:jc w:val="both"/>
      </w:pPr>
      <w:r>
        <w:rPr>
          <w:rFonts w:eastAsia="標楷體"/>
        </w:rPr>
        <w:t>＊發布機關：臺中市政府水利局會計室</w:t>
      </w:r>
    </w:p>
    <w:p w:rsidR="007533A6" w:rsidRDefault="007F7F51">
      <w:pPr>
        <w:pStyle w:val="Standard"/>
        <w:spacing w:line="0" w:lineRule="atLeast"/>
        <w:ind w:left="480" w:hanging="240"/>
        <w:jc w:val="both"/>
      </w:pPr>
      <w:r>
        <w:rPr>
          <w:rFonts w:eastAsia="標楷體"/>
        </w:rPr>
        <w:t>＊編製單位：臺中市政府水利局水利管理科</w:t>
      </w:r>
    </w:p>
    <w:p w:rsidR="007533A6" w:rsidRDefault="007F7F51">
      <w:pPr>
        <w:pStyle w:val="Standard"/>
        <w:spacing w:line="0" w:lineRule="atLeast"/>
        <w:ind w:left="480" w:hanging="240"/>
        <w:jc w:val="both"/>
      </w:pPr>
      <w:r>
        <w:rPr>
          <w:rFonts w:eastAsia="標楷體"/>
        </w:rPr>
        <w:t>＊聯絡電話：</w:t>
      </w:r>
      <w:r>
        <w:rPr>
          <w:rFonts w:eastAsia="標楷體"/>
        </w:rPr>
        <w:t>04-22289111#53319</w:t>
      </w:r>
    </w:p>
    <w:p w:rsidR="007533A6" w:rsidRDefault="007F7F51">
      <w:pPr>
        <w:pStyle w:val="Standard"/>
        <w:spacing w:line="0" w:lineRule="atLeast"/>
        <w:ind w:left="480" w:hanging="240"/>
        <w:jc w:val="both"/>
      </w:pPr>
      <w:r>
        <w:rPr>
          <w:rFonts w:eastAsia="標楷體"/>
        </w:rPr>
        <w:t>＊電子信箱：</w:t>
      </w:r>
      <w:hyperlink r:id="rId7" w:history="1">
        <w:r>
          <w:rPr>
            <w:rStyle w:val="Internetlink"/>
            <w:rFonts w:ascii="Arial" w:hAnsi="Arial" w:cs="Arial"/>
            <w:sz w:val="20"/>
          </w:rPr>
          <w:t>rooroo5330@taichung.gov.tw</w:t>
        </w:r>
      </w:hyperlink>
    </w:p>
    <w:p w:rsidR="007533A6" w:rsidRDefault="007F7F51">
      <w:pPr>
        <w:pStyle w:val="Standard"/>
        <w:spacing w:line="0" w:lineRule="atLeast"/>
        <w:jc w:val="both"/>
      </w:pPr>
      <w:r>
        <w:rPr>
          <w:rFonts w:eastAsia="標楷體"/>
        </w:rPr>
        <w:t>二、發布形式</w:t>
      </w:r>
    </w:p>
    <w:p w:rsidR="007533A6" w:rsidRDefault="007F7F51">
      <w:pPr>
        <w:pStyle w:val="Standard"/>
        <w:numPr>
          <w:ilvl w:val="0"/>
          <w:numId w:val="4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口頭：</w:t>
      </w:r>
    </w:p>
    <w:p w:rsidR="007533A6" w:rsidRDefault="007F7F51">
      <w:pPr>
        <w:pStyle w:val="Standard"/>
        <w:spacing w:line="320" w:lineRule="exact"/>
        <w:ind w:left="616" w:hanging="61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    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）記者會或說明會</w:t>
      </w:r>
    </w:p>
    <w:p w:rsidR="007533A6" w:rsidRDefault="007F7F51">
      <w:pPr>
        <w:pStyle w:val="Standard"/>
        <w:numPr>
          <w:ilvl w:val="0"/>
          <w:numId w:val="5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書面：</w:t>
      </w:r>
    </w:p>
    <w:p w:rsidR="007533A6" w:rsidRDefault="007F7F51">
      <w:pPr>
        <w:pStyle w:val="Standard"/>
        <w:spacing w:line="320" w:lineRule="exact"/>
        <w:ind w:left="616" w:hanging="33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 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）新聞稿</w:t>
      </w: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（）報表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）書刊，刊名：</w:t>
      </w:r>
    </w:p>
    <w:p w:rsidR="007533A6" w:rsidRDefault="007F7F51">
      <w:pPr>
        <w:pStyle w:val="Standard"/>
        <w:spacing w:line="320" w:lineRule="exact"/>
        <w:ind w:left="616" w:hanging="332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＊電子媒體：</w:t>
      </w:r>
    </w:p>
    <w:p w:rsidR="007533A6" w:rsidRDefault="007F7F51">
      <w:pPr>
        <w:pStyle w:val="Standard"/>
        <w:spacing w:line="320" w:lineRule="exact"/>
        <w:ind w:left="616" w:firstLine="93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）線上書刊及資料庫，網址：</w:t>
      </w:r>
    </w:p>
    <w:p w:rsidR="007533A6" w:rsidRDefault="007F7F51">
      <w:pPr>
        <w:pStyle w:val="Standard"/>
        <w:spacing w:line="320" w:lineRule="exact"/>
        <w:ind w:left="616" w:firstLine="93"/>
        <w:jc w:val="both"/>
      </w:pP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）磁片</w:t>
      </w: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）光碟片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（</w:t>
      </w:r>
      <w:r>
        <w:rPr>
          <w:rFonts w:ascii="Wingdings" w:eastAsia="Wingdings" w:hAnsi="Wingdings" w:cs="Wingdings"/>
        </w:rPr>
        <w:t></w:t>
      </w:r>
      <w:r>
        <w:rPr>
          <w:rFonts w:ascii="標楷體" w:eastAsia="標楷體" w:hAnsi="標楷體"/>
        </w:rPr>
        <w:t>）其他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報表</w:t>
      </w:r>
      <w:r>
        <w:rPr>
          <w:rFonts w:ascii="標楷體" w:eastAsia="標楷體" w:hAnsi="標楷體"/>
        </w:rPr>
        <w:t>)</w:t>
      </w:r>
    </w:p>
    <w:p w:rsidR="007533A6" w:rsidRDefault="007F7F51">
      <w:pPr>
        <w:pStyle w:val="Standard"/>
        <w:spacing w:before="240" w:line="0" w:lineRule="atLeast"/>
        <w:ind w:left="616" w:hanging="616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三、資料範圍、週期及時效</w:t>
      </w:r>
    </w:p>
    <w:p w:rsidR="007533A6" w:rsidRDefault="007F7F51">
      <w:pPr>
        <w:pStyle w:val="Standard"/>
        <w:spacing w:line="0" w:lineRule="atLeast"/>
        <w:ind w:left="480" w:hanging="240"/>
        <w:jc w:val="both"/>
      </w:pPr>
      <w:r>
        <w:rPr>
          <w:rFonts w:eastAsia="標楷體"/>
        </w:rPr>
        <w:t>＊統計地區範圍及對象</w:t>
      </w:r>
      <w:r>
        <w:rPr>
          <w:rFonts w:eastAsia="標楷體"/>
          <w:szCs w:val="24"/>
        </w:rPr>
        <w:t>：</w:t>
      </w:r>
      <w:r>
        <w:rPr>
          <w:rFonts w:ascii="標楷體" w:eastAsia="標楷體" w:hAnsi="標楷體"/>
          <w:szCs w:val="24"/>
        </w:rPr>
        <w:t>凡臺中市各機關團體公司行號或人民，依法申請或經核准地下水一般水權登記者均為統計對象。</w:t>
      </w:r>
    </w:p>
    <w:p w:rsidR="007533A6" w:rsidRDefault="007F7F51">
      <w:pPr>
        <w:pStyle w:val="Standard"/>
        <w:spacing w:line="0" w:lineRule="atLeast"/>
        <w:ind w:left="480" w:hanging="240"/>
        <w:jc w:val="both"/>
      </w:pPr>
      <w:r>
        <w:rPr>
          <w:rFonts w:eastAsia="標楷體"/>
        </w:rPr>
        <w:t>＊統計標準時間：以每年</w:t>
      </w:r>
      <w:r>
        <w:rPr>
          <w:rFonts w:eastAsia="標楷體"/>
        </w:rPr>
        <w:t>1</w:t>
      </w:r>
      <w:r>
        <w:rPr>
          <w:rFonts w:eastAsia="標楷體"/>
        </w:rPr>
        <w:t>月</w:t>
      </w:r>
      <w:r>
        <w:rPr>
          <w:rFonts w:eastAsia="標楷體"/>
        </w:rPr>
        <w:t>1</w:t>
      </w:r>
      <w:r>
        <w:rPr>
          <w:rFonts w:eastAsia="標楷體"/>
        </w:rPr>
        <w:t>日至</w:t>
      </w:r>
      <w:r>
        <w:rPr>
          <w:rFonts w:eastAsia="標楷體"/>
        </w:rPr>
        <w:t>12</w:t>
      </w:r>
      <w:r>
        <w:rPr>
          <w:rFonts w:eastAsia="標楷體"/>
        </w:rPr>
        <w:t>月底之事實為準。</w:t>
      </w:r>
    </w:p>
    <w:p w:rsidR="007533A6" w:rsidRDefault="007F7F51">
      <w:pPr>
        <w:pStyle w:val="Standard"/>
        <w:spacing w:line="0" w:lineRule="atLeast"/>
        <w:ind w:left="480" w:hanging="240"/>
        <w:jc w:val="both"/>
        <w:rPr>
          <w:rFonts w:eastAsia="標楷體"/>
        </w:rPr>
      </w:pPr>
      <w:r>
        <w:rPr>
          <w:rFonts w:eastAsia="標楷體"/>
        </w:rPr>
        <w:t>＊統計項目定義：</w:t>
      </w:r>
    </w:p>
    <w:p w:rsidR="007533A6" w:rsidRDefault="007F7F51">
      <w:pPr>
        <w:pStyle w:val="Standard"/>
        <w:spacing w:line="0" w:lineRule="atLeast"/>
        <w:ind w:left="2640" w:hanging="240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一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家用及公共給水：依據地下水水權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臨時用水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登記申請手冊規定，係指供作家庭之飲用及衛生清潔用水或自來水事業用水。</w:t>
      </w:r>
    </w:p>
    <w:p w:rsidR="007533A6" w:rsidRDefault="007F7F51">
      <w:pPr>
        <w:pStyle w:val="Standard"/>
        <w:spacing w:line="0" w:lineRule="atLeast"/>
        <w:ind w:left="2400" w:hanging="2160"/>
        <w:jc w:val="both"/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二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農業用水：依據地下水水權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臨時用水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登記申請手冊規定，係指供作農林漁牧業用水。</w:t>
      </w:r>
    </w:p>
    <w:p w:rsidR="007533A6" w:rsidRDefault="007F7F51">
      <w:pPr>
        <w:pStyle w:val="Standard"/>
        <w:spacing w:line="0" w:lineRule="atLeast"/>
        <w:ind w:left="2400" w:hanging="216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三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水力用水：依據地下水水權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臨時用水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登記申請手冊規定，係指供作水力發電等用水。</w:t>
      </w:r>
    </w:p>
    <w:p w:rsidR="007533A6" w:rsidRDefault="007F7F51">
      <w:pPr>
        <w:pStyle w:val="Standard"/>
        <w:spacing w:line="0" w:lineRule="atLeast"/>
        <w:ind w:left="2400" w:hanging="216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四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工業用水：依據地下水水權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臨時用水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登記申請手冊規定，係指供應工廠、礦場作業</w:t>
      </w:r>
    </w:p>
    <w:p w:rsidR="007533A6" w:rsidRDefault="007F7F51">
      <w:pPr>
        <w:pStyle w:val="Standard"/>
        <w:spacing w:line="0" w:lineRule="atLeast"/>
        <w:ind w:left="2400" w:hanging="48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上之冷卻、消耗及廢水處理等用水。</w:t>
      </w:r>
    </w:p>
    <w:p w:rsidR="007533A6" w:rsidRDefault="007F7F51">
      <w:pPr>
        <w:pStyle w:val="Standard"/>
        <w:spacing w:line="0" w:lineRule="atLeast"/>
        <w:ind w:left="2400" w:hanging="216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五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其他用途：依據地下水水權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臨時用水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登記申請手冊規定，係指不屬於上列各項標的</w:t>
      </w:r>
    </w:p>
    <w:p w:rsidR="007533A6" w:rsidRDefault="007F7F51">
      <w:pPr>
        <w:pStyle w:val="Standard"/>
        <w:spacing w:line="0" w:lineRule="atLeast"/>
        <w:ind w:left="2400" w:hanging="48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或供作觀光、休閒、遊憩等之用水。</w:t>
      </w:r>
    </w:p>
    <w:p w:rsidR="007533A6" w:rsidRDefault="007F7F51">
      <w:pPr>
        <w:pStyle w:val="Standard"/>
        <w:spacing w:line="0" w:lineRule="atLeast"/>
        <w:ind w:left="480" w:hanging="24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六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取得登記：指新水權案件登記者。</w:t>
      </w:r>
    </w:p>
    <w:p w:rsidR="007533A6" w:rsidRDefault="007F7F51">
      <w:pPr>
        <w:pStyle w:val="Standard"/>
        <w:spacing w:line="0" w:lineRule="atLeast"/>
        <w:ind w:left="480" w:hanging="24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七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展限登記：指水權核准年限屆滿仍須繼續取用水者。</w:t>
      </w:r>
    </w:p>
    <w:p w:rsidR="007533A6" w:rsidRDefault="007F7F51">
      <w:pPr>
        <w:pStyle w:val="Standard"/>
        <w:spacing w:line="0" w:lineRule="atLeast"/>
        <w:ind w:left="480" w:hanging="24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八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移轉登記：指水權與其有關水利事業全部之繼承或讓受者。</w:t>
      </w:r>
    </w:p>
    <w:p w:rsidR="007533A6" w:rsidRDefault="007F7F51">
      <w:pPr>
        <w:pStyle w:val="Standard"/>
        <w:spacing w:line="0" w:lineRule="atLeast"/>
        <w:ind w:left="480" w:hanging="240"/>
        <w:jc w:val="both"/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九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變更登記：在水權人不變更主體情形下，業經核准水權登記事項內容之更改者。</w:t>
      </w:r>
    </w:p>
    <w:p w:rsidR="007533A6" w:rsidRDefault="007F7F51">
      <w:pPr>
        <w:pStyle w:val="Standard"/>
        <w:spacing w:line="0" w:lineRule="atLeast"/>
        <w:ind w:left="480" w:hanging="24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十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消滅登記：指水權核准年限屆滿或水權已無取用水之必要者。</w:t>
      </w:r>
    </w:p>
    <w:p w:rsidR="007533A6" w:rsidRDefault="007F7F51">
      <w:pPr>
        <w:pStyle w:val="Standard"/>
        <w:spacing w:line="0" w:lineRule="atLeast"/>
        <w:ind w:left="480" w:hanging="240"/>
        <w:jc w:val="both"/>
      </w:pPr>
      <w:r>
        <w:rPr>
          <w:rFonts w:eastAsia="標楷體"/>
        </w:rPr>
        <w:t>＊統計單位：件。</w:t>
      </w:r>
    </w:p>
    <w:p w:rsidR="007533A6" w:rsidRDefault="007F7F51">
      <w:pPr>
        <w:pStyle w:val="Standard"/>
        <w:spacing w:line="0" w:lineRule="atLeast"/>
        <w:ind w:left="480" w:hanging="240"/>
        <w:jc w:val="both"/>
        <w:rPr>
          <w:rFonts w:eastAsia="標楷體"/>
        </w:rPr>
      </w:pPr>
      <w:r>
        <w:rPr>
          <w:rFonts w:eastAsia="標楷體"/>
        </w:rPr>
        <w:t>＊統計分類：</w:t>
      </w:r>
    </w:p>
    <w:p w:rsidR="007533A6" w:rsidRDefault="007F7F51">
      <w:pPr>
        <w:pStyle w:val="Standard"/>
        <w:spacing w:line="0" w:lineRule="atLeast"/>
        <w:ind w:left="1920" w:hanging="168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一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縱行科目：分為申請件數、核准件數。申請件數再分為取得、展限、移轉</w:t>
      </w:r>
      <w:r>
        <w:rPr>
          <w:rFonts w:ascii="標楷體" w:eastAsia="標楷體" w:hAnsi="標楷體" w:cs="標楷體"/>
        </w:rPr>
        <w:t>、變更、消滅。核准件數再分為取得、展限、移轉、變更、消滅。</w:t>
      </w:r>
    </w:p>
    <w:p w:rsidR="007533A6" w:rsidRDefault="007F7F51">
      <w:pPr>
        <w:pStyle w:val="Standard"/>
        <w:spacing w:line="0" w:lineRule="atLeast"/>
        <w:ind w:left="1920" w:hanging="168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二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橫列科目：依主管機關別、用水標的別分類。用水標的別再分為家用及公共給水、農業用水、水力用水、工業用水及其他用途。</w:t>
      </w:r>
    </w:p>
    <w:p w:rsidR="007533A6" w:rsidRDefault="007F7F51">
      <w:pPr>
        <w:pStyle w:val="Standard"/>
        <w:spacing w:line="0" w:lineRule="atLeast"/>
        <w:ind w:left="1920" w:hanging="1680"/>
        <w:jc w:val="both"/>
        <w:rPr>
          <w:rFonts w:eastAsia="標楷體"/>
        </w:rPr>
      </w:pPr>
      <w:r>
        <w:rPr>
          <w:rFonts w:eastAsia="標楷體"/>
        </w:rPr>
        <w:t>＊發布週期：年。</w:t>
      </w:r>
    </w:p>
    <w:p w:rsidR="007533A6" w:rsidRDefault="007F7F51">
      <w:pPr>
        <w:pStyle w:val="Standard"/>
        <w:spacing w:line="0" w:lineRule="atLeast"/>
        <w:ind w:left="480" w:hanging="240"/>
        <w:jc w:val="both"/>
      </w:pPr>
      <w:r>
        <w:rPr>
          <w:rFonts w:eastAsia="標楷體"/>
        </w:rPr>
        <w:t>＊時效：</w:t>
      </w:r>
      <w:r>
        <w:rPr>
          <w:rFonts w:eastAsia="標楷體"/>
        </w:rPr>
        <w:t>1</w:t>
      </w:r>
      <w:r>
        <w:rPr>
          <w:rFonts w:eastAsia="標楷體"/>
        </w:rPr>
        <w:t>個月。</w:t>
      </w:r>
    </w:p>
    <w:p w:rsidR="007533A6" w:rsidRDefault="007F7F51">
      <w:pPr>
        <w:pStyle w:val="Standard"/>
        <w:spacing w:line="0" w:lineRule="atLeast"/>
        <w:ind w:left="480" w:hanging="240"/>
        <w:jc w:val="both"/>
      </w:pPr>
      <w:r>
        <w:rPr>
          <w:rFonts w:eastAsia="標楷體"/>
        </w:rPr>
        <w:t>＊資料變革：無。</w:t>
      </w:r>
    </w:p>
    <w:p w:rsidR="007533A6" w:rsidRDefault="007533A6">
      <w:pPr>
        <w:pStyle w:val="Standard"/>
        <w:spacing w:line="0" w:lineRule="atLeast"/>
        <w:ind w:left="480" w:hanging="240"/>
        <w:jc w:val="both"/>
        <w:rPr>
          <w:rFonts w:eastAsia="標楷體"/>
        </w:rPr>
      </w:pPr>
    </w:p>
    <w:p w:rsidR="007533A6" w:rsidRDefault="007F7F51">
      <w:pPr>
        <w:pStyle w:val="Standard"/>
        <w:spacing w:before="240" w:line="0" w:lineRule="atLeast"/>
        <w:ind w:left="616" w:hanging="616"/>
        <w:jc w:val="both"/>
      </w:pPr>
      <w:r>
        <w:rPr>
          <w:rFonts w:eastAsia="標楷體"/>
        </w:rPr>
        <w:t>四、</w:t>
      </w:r>
      <w:r>
        <w:rPr>
          <w:rFonts w:ascii="標楷體" w:eastAsia="標楷體" w:hAnsi="標楷體"/>
        </w:rPr>
        <w:t>公開資料發布訊息</w:t>
      </w:r>
    </w:p>
    <w:p w:rsidR="007533A6" w:rsidRDefault="007F7F51">
      <w:pPr>
        <w:pStyle w:val="Standard"/>
        <w:spacing w:line="0" w:lineRule="atLeast"/>
        <w:ind w:left="480" w:hanging="240"/>
        <w:jc w:val="both"/>
      </w:pPr>
      <w:r>
        <w:rPr>
          <w:rFonts w:eastAsia="標楷體"/>
        </w:rPr>
        <w:t>＊預告發布日期：次年</w:t>
      </w:r>
      <w:r>
        <w:rPr>
          <w:rFonts w:eastAsia="標楷體"/>
        </w:rPr>
        <w:t>1</w:t>
      </w:r>
      <w:r>
        <w:rPr>
          <w:rFonts w:eastAsia="標楷體"/>
        </w:rPr>
        <w:t>月底</w:t>
      </w:r>
      <w:r>
        <w:rPr>
          <w:rFonts w:eastAsia="標楷體"/>
          <w:szCs w:val="24"/>
        </w:rPr>
        <w:t>(</w:t>
      </w:r>
      <w:r>
        <w:rPr>
          <w:rFonts w:eastAsia="標楷體"/>
          <w:szCs w:val="24"/>
        </w:rPr>
        <w:t>原訂預告發布日期如遇例假日或國定假日則延至下一個工作</w:t>
      </w:r>
      <w:r>
        <w:rPr>
          <w:rFonts w:eastAsia="標楷體"/>
          <w:szCs w:val="24"/>
        </w:rPr>
        <w:lastRenderedPageBreak/>
        <w:t>日發布</w:t>
      </w:r>
      <w:r>
        <w:rPr>
          <w:rFonts w:eastAsia="標楷體"/>
          <w:szCs w:val="24"/>
        </w:rPr>
        <w:t>)</w:t>
      </w:r>
      <w:r>
        <w:rPr>
          <w:rFonts w:eastAsia="標楷體"/>
          <w:szCs w:val="24"/>
        </w:rPr>
        <w:t>。</w:t>
      </w:r>
    </w:p>
    <w:p w:rsidR="007533A6" w:rsidRDefault="007F7F51">
      <w:pPr>
        <w:pStyle w:val="Standard"/>
        <w:spacing w:line="0" w:lineRule="atLeast"/>
        <w:ind w:left="480" w:hanging="240"/>
        <w:jc w:val="both"/>
      </w:pPr>
      <w:r>
        <w:rPr>
          <w:rFonts w:eastAsia="標楷體"/>
        </w:rPr>
        <w:t>＊同步發送單位：臺中市政府主計處。</w:t>
      </w:r>
    </w:p>
    <w:p w:rsidR="007533A6" w:rsidRDefault="007F7F51">
      <w:pPr>
        <w:pStyle w:val="Standard"/>
        <w:spacing w:before="240" w:line="0" w:lineRule="atLeast"/>
        <w:ind w:left="616" w:hanging="616"/>
        <w:jc w:val="both"/>
        <w:rPr>
          <w:rFonts w:eastAsia="標楷體"/>
        </w:rPr>
      </w:pPr>
      <w:r>
        <w:rPr>
          <w:rFonts w:eastAsia="標楷體"/>
        </w:rPr>
        <w:t>五、資料品質</w:t>
      </w:r>
    </w:p>
    <w:p w:rsidR="007533A6" w:rsidRDefault="007F7F51">
      <w:pPr>
        <w:pStyle w:val="Standard"/>
        <w:spacing w:line="0" w:lineRule="atLeast"/>
        <w:ind w:left="480" w:hanging="240"/>
        <w:jc w:val="both"/>
      </w:pPr>
      <w:r>
        <w:rPr>
          <w:rFonts w:eastAsia="標楷體"/>
        </w:rPr>
        <w:t>＊統計指標編製方法與資料來源說明：本局水利管理科依據各申請案件登打經濟部水利署「水利資料整合雲平台</w:t>
      </w:r>
      <w:r>
        <w:rPr>
          <w:rFonts w:eastAsia="標楷體"/>
        </w:rPr>
        <w:t>-</w:t>
      </w:r>
      <w:r>
        <w:rPr>
          <w:rFonts w:eastAsia="標楷體"/>
        </w:rPr>
        <w:t>水權核辦系統」資料彙編。</w:t>
      </w:r>
    </w:p>
    <w:p w:rsidR="007533A6" w:rsidRDefault="007F7F51">
      <w:pPr>
        <w:pStyle w:val="Standard"/>
        <w:spacing w:line="0" w:lineRule="atLeast"/>
        <w:ind w:left="480" w:hanging="240"/>
        <w:jc w:val="both"/>
      </w:pPr>
      <w:r>
        <w:rPr>
          <w:rFonts w:eastAsia="標楷體"/>
        </w:rPr>
        <w:t>＊統計資料交叉查核及確保資料合理性之機制：業務單位、會計室、經濟部水利署交叉查核確保資料合理性。</w:t>
      </w:r>
    </w:p>
    <w:p w:rsidR="007533A6" w:rsidRDefault="007F7F51">
      <w:pPr>
        <w:pStyle w:val="Standard"/>
        <w:tabs>
          <w:tab w:val="left" w:pos="8520"/>
        </w:tabs>
        <w:spacing w:line="0" w:lineRule="atLeast"/>
        <w:jc w:val="both"/>
      </w:pPr>
      <w:r>
        <w:rPr>
          <w:rFonts w:eastAsia="標楷體"/>
        </w:rPr>
        <w:t>六、</w:t>
      </w:r>
      <w:r>
        <w:rPr>
          <w:rFonts w:ascii="標楷體" w:eastAsia="標楷體" w:hAnsi="標楷體"/>
        </w:rPr>
        <w:t>須注意及</w:t>
      </w:r>
      <w:r>
        <w:rPr>
          <w:rFonts w:eastAsia="標楷體"/>
        </w:rPr>
        <w:t>預定改變之事項：表號</w:t>
      </w:r>
      <w:r>
        <w:rPr>
          <w:rFonts w:eastAsia="標楷體"/>
        </w:rPr>
        <w:t>11221-04-02-2</w:t>
      </w:r>
      <w:r>
        <w:rPr>
          <w:rFonts w:eastAsia="標楷體"/>
        </w:rPr>
        <w:t>，本表有固定週期修正機制。</w:t>
      </w:r>
    </w:p>
    <w:p w:rsidR="007533A6" w:rsidRDefault="007F7F51">
      <w:pPr>
        <w:pStyle w:val="Standard"/>
        <w:tabs>
          <w:tab w:val="left" w:pos="8520"/>
        </w:tabs>
        <w:spacing w:line="320" w:lineRule="exact"/>
        <w:jc w:val="both"/>
      </w:pPr>
      <w:r>
        <w:rPr>
          <w:rFonts w:eastAsia="標楷體"/>
        </w:rPr>
        <w:t>七、其他事項：無。</w:t>
      </w:r>
    </w:p>
    <w:p w:rsidR="007533A6" w:rsidRDefault="007533A6">
      <w:pPr>
        <w:pStyle w:val="Standard"/>
        <w:tabs>
          <w:tab w:val="left" w:pos="8520"/>
        </w:tabs>
        <w:spacing w:line="0" w:lineRule="atLeast"/>
        <w:jc w:val="both"/>
        <w:rPr>
          <w:rFonts w:ascii="標楷體" w:eastAsia="標楷體" w:hAnsi="標楷體" w:cs="標楷體"/>
          <w:sz w:val="28"/>
          <w:szCs w:val="28"/>
        </w:rPr>
      </w:pPr>
    </w:p>
    <w:p w:rsidR="007533A6" w:rsidRDefault="007533A6">
      <w:pPr>
        <w:pStyle w:val="Standard"/>
      </w:pPr>
    </w:p>
    <w:sectPr w:rsidR="007533A6">
      <w:pgSz w:w="11906" w:h="16838"/>
      <w:pgMar w:top="709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7F7F51">
      <w:pPr>
        <w:rPr>
          <w:rFonts w:hint="eastAsia"/>
        </w:rPr>
      </w:pPr>
      <w:r>
        <w:separator/>
      </w:r>
    </w:p>
  </w:endnote>
  <w:endnote w:type="continuationSeparator" w:id="0">
    <w:p w:rsidR="00000000" w:rsidRDefault="007F7F5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思源黑體 TW">
    <w:altName w:val="Calibri"/>
    <w:charset w:val="00"/>
    <w:family w:val="auto"/>
    <w:pitch w:val="variable"/>
  </w:font>
  <w:font w:name="新細明體, PMingLiU"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, MingLiU">
    <w:charset w:val="00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7F7F5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7F7F5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7517C"/>
    <w:multiLevelType w:val="multilevel"/>
    <w:tmpl w:val="A5C28EC0"/>
    <w:styleLink w:val="WW8Num2"/>
    <w:lvl w:ilvl="0">
      <w:numFmt w:val="bullet"/>
      <w:lvlText w:val="＊"/>
      <w:lvlJc w:val="left"/>
      <w:pPr>
        <w:ind w:left="579" w:hanging="285"/>
      </w:pPr>
      <w:rPr>
        <w:rFonts w:ascii="標楷體" w:eastAsia="標楷體" w:hAnsi="標楷體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5872CD2"/>
    <w:multiLevelType w:val="multilevel"/>
    <w:tmpl w:val="6D3281B8"/>
    <w:styleLink w:val="WW8Num1"/>
    <w:lvl w:ilvl="0">
      <w:numFmt w:val="bullet"/>
      <w:lvlText w:val="＊"/>
      <w:lvlJc w:val="left"/>
      <w:pPr>
        <w:ind w:left="534" w:hanging="240"/>
      </w:pPr>
      <w:rPr>
        <w:rFonts w:ascii="標楷體" w:eastAsia="標楷體" w:hAnsi="標楷體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7C0B78CE"/>
    <w:multiLevelType w:val="multilevel"/>
    <w:tmpl w:val="6D141A4E"/>
    <w:styleLink w:val="WW8Num3"/>
    <w:lvl w:ilvl="0">
      <w:numFmt w:val="bullet"/>
      <w:lvlText w:val="＊"/>
      <w:lvlJc w:val="left"/>
      <w:pPr>
        <w:ind w:left="579" w:hanging="285"/>
      </w:pPr>
      <w:rPr>
        <w:rFonts w:ascii="標楷體" w:eastAsia="標楷體" w:hAnsi="標楷體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84345669">
    <w:abstractNumId w:val="1"/>
  </w:num>
  <w:num w:numId="2" w16cid:durableId="1760059594">
    <w:abstractNumId w:val="0"/>
  </w:num>
  <w:num w:numId="3" w16cid:durableId="993340362">
    <w:abstractNumId w:val="2"/>
  </w:num>
  <w:num w:numId="4" w16cid:durableId="1330400359">
    <w:abstractNumId w:val="2"/>
    <w:lvlOverride w:ilvl="0"/>
  </w:num>
  <w:num w:numId="5" w16cid:durableId="355885940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533A6"/>
    <w:rsid w:val="007533A6"/>
    <w:rsid w:val="007F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FEB0FC5B-1DD4-404A-8EA7-EAF806818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思源黑體 TW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思源黑體 TW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思源黑體 TW"/>
    </w:rPr>
  </w:style>
  <w:style w:type="paragraph" w:styleId="a4">
    <w:name w:val="caption"/>
    <w:basedOn w:val="Standard"/>
    <w:pPr>
      <w:suppressLineNumbers/>
      <w:spacing w:before="120" w:after="120"/>
    </w:pPr>
    <w:rPr>
      <w:rFonts w:cs="思源黑體 TW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思源黑體 TW"/>
    </w:rPr>
  </w:style>
  <w:style w:type="paragraph" w:styleId="a5">
    <w:name w:val="annotation text"/>
    <w:basedOn w:val="Standard"/>
  </w:style>
  <w:style w:type="paragraph" w:styleId="a6">
    <w:name w:val="Balloon Text"/>
    <w:basedOn w:val="Standard"/>
    <w:rPr>
      <w:rFonts w:ascii="Arial" w:eastAsia="Arial" w:hAnsi="Arial" w:cs="Arial"/>
      <w:sz w:val="18"/>
      <w:szCs w:val="18"/>
    </w:rPr>
  </w:style>
  <w:style w:type="paragraph" w:styleId="a7">
    <w:name w:val="Plain Text"/>
    <w:basedOn w:val="Standard"/>
    <w:rPr>
      <w:rFonts w:ascii="細明體, MingLiU" w:eastAsia="細明體, MingLiU" w:hAnsi="細明體, MingLiU" w:cs="Courier New"/>
    </w:rPr>
  </w:style>
  <w:style w:type="paragraph" w:styleId="a8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WW8Num1z0">
    <w:name w:val="WW8Num1z0"/>
    <w:rPr>
      <w:rFonts w:ascii="標楷體" w:eastAsia="標楷體" w:hAnsi="標楷體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標楷體" w:eastAsia="標楷體" w:hAnsi="標楷體" w:cs="Times New Roman"/>
    </w:rPr>
  </w:style>
  <w:style w:type="character" w:customStyle="1" w:styleId="WW8Num3z0">
    <w:name w:val="WW8Num3z0"/>
    <w:rPr>
      <w:rFonts w:ascii="標楷體" w:eastAsia="標楷體" w:hAnsi="標楷體" w:cs="Times New Roman"/>
    </w:rPr>
  </w:style>
  <w:style w:type="character" w:styleId="aa">
    <w:name w:val="annotation reference"/>
    <w:rPr>
      <w:sz w:val="18"/>
      <w:szCs w:val="18"/>
    </w:rPr>
  </w:style>
  <w:style w:type="character" w:customStyle="1" w:styleId="ab">
    <w:name w:val="頁首 字元"/>
    <w:rPr>
      <w:kern w:val="3"/>
    </w:rPr>
  </w:style>
  <w:style w:type="character" w:customStyle="1" w:styleId="ac">
    <w:name w:val="頁尾 字元"/>
    <w:rPr>
      <w:kern w:val="3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mailheadertext1">
    <w:name w:val="mailheadertext1"/>
    <w:rPr>
      <w:i w:val="0"/>
      <w:iCs w:val="0"/>
      <w:color w:val="000000"/>
      <w:sz w:val="18"/>
      <w:szCs w:val="18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oroo5330@taichung.go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災害救助編製說明</dc:title>
  <dc:subject/>
  <dc:creator>d04</dc:creator>
  <cp:keywords/>
  <cp:lastModifiedBy>cws</cp:lastModifiedBy>
  <cp:revision>2</cp:revision>
  <cp:lastPrinted>2012-12-27T12:20:00Z</cp:lastPrinted>
  <dcterms:created xsi:type="dcterms:W3CDTF">2025-02-13T02:51:00Z</dcterms:created>
  <dcterms:modified xsi:type="dcterms:W3CDTF">2025-02-13T02:51:00Z</dcterms:modified>
</cp:coreProperties>
</file>