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6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169"/>
      </w:tblGrid>
      <w:tr w:rsidR="007D23DA">
        <w:tblPrEx>
          <w:tblCellMar>
            <w:top w:w="0" w:type="dxa"/>
            <w:bottom w:w="0" w:type="dxa"/>
          </w:tblCellMar>
        </w:tblPrEx>
        <w:trPr>
          <w:trHeight w:val="14306"/>
        </w:trPr>
        <w:tc>
          <w:tcPr>
            <w:tcW w:w="101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3DA" w:rsidRDefault="00091022">
            <w:pPr>
              <w:spacing w:line="360" w:lineRule="exact"/>
              <w:jc w:val="center"/>
              <w:rPr>
                <w:rFonts w:ascii="Times New Roman" w:hAnsi="Times New Roman"/>
                <w:b/>
                <w:bCs/>
                <w:spacing w:val="-4"/>
                <w:sz w:val="28"/>
              </w:rPr>
            </w:pPr>
            <w:r>
              <w:rPr>
                <w:rFonts w:ascii="Times New Roman" w:hAnsi="Times New Roman"/>
                <w:b/>
                <w:bCs/>
                <w:spacing w:val="-4"/>
                <w:sz w:val="28"/>
              </w:rPr>
              <w:t>統計資料背景說明</w:t>
            </w:r>
          </w:p>
          <w:p w:rsidR="007D23DA" w:rsidRDefault="00091022">
            <w:pPr>
              <w:spacing w:line="360" w:lineRule="exac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資料種類：國家安全統計</w:t>
            </w:r>
          </w:p>
          <w:p w:rsidR="007D23DA" w:rsidRDefault="00091022">
            <w:pPr>
              <w:spacing w:line="360" w:lineRule="exac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資料項目：臺中市新社區妨害兵役案件</w:t>
            </w:r>
          </w:p>
          <w:p w:rsidR="007D23DA" w:rsidRDefault="00091022">
            <w:pPr>
              <w:spacing w:line="360" w:lineRule="exact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一、發布及編製機關單位</w:t>
            </w:r>
          </w:p>
          <w:p w:rsidR="007D23DA" w:rsidRDefault="00091022">
            <w:pPr>
              <w:spacing w:line="360" w:lineRule="exact"/>
              <w:ind w:left="720" w:hanging="426"/>
              <w:jc w:val="both"/>
            </w:pPr>
            <w:r>
              <w:rPr>
                <w:rFonts w:ascii="Times New Roman" w:hAnsi="Times New Roman"/>
                <w:spacing w:val="-4"/>
                <w:sz w:val="28"/>
              </w:rPr>
              <w:t>＊發布機關、單位：</w:t>
            </w:r>
            <w:r>
              <w:rPr>
                <w:rFonts w:ascii="Times New Roman" w:hAnsi="Times New Roman"/>
                <w:bCs/>
                <w:spacing w:val="-4"/>
                <w:sz w:val="28"/>
                <w:szCs w:val="28"/>
              </w:rPr>
              <w:t>臺中市新社區公所會計室</w:t>
            </w:r>
          </w:p>
          <w:p w:rsidR="007D23DA" w:rsidRDefault="00091022">
            <w:pPr>
              <w:spacing w:line="360" w:lineRule="exact"/>
              <w:ind w:left="720" w:hanging="426"/>
              <w:jc w:val="both"/>
            </w:pPr>
            <w:r>
              <w:rPr>
                <w:rFonts w:ascii="Times New Roman" w:hAnsi="Times New Roman"/>
                <w:sz w:val="28"/>
              </w:rPr>
              <w:t>＊編製單位：</w:t>
            </w:r>
            <w:r>
              <w:rPr>
                <w:rFonts w:ascii="Times New Roman" w:hAnsi="Times New Roman"/>
                <w:bCs/>
                <w:spacing w:val="-4"/>
                <w:sz w:val="28"/>
                <w:szCs w:val="28"/>
              </w:rPr>
              <w:t>臺中市新社區公所人文課</w:t>
            </w:r>
          </w:p>
          <w:p w:rsidR="007D23DA" w:rsidRDefault="00091022">
            <w:pPr>
              <w:spacing w:line="360" w:lineRule="exact"/>
              <w:ind w:left="720" w:hanging="426"/>
              <w:jc w:val="both"/>
            </w:pPr>
            <w:r>
              <w:rPr>
                <w:rFonts w:ascii="Times New Roman" w:hAnsi="Times New Roman"/>
                <w:sz w:val="28"/>
              </w:rPr>
              <w:t>＊聯絡電話：</w:t>
            </w:r>
            <w:r>
              <w:rPr>
                <w:rFonts w:ascii="Times New Roman" w:hAnsi="Times New Roman"/>
                <w:sz w:val="28"/>
                <w:szCs w:val="28"/>
              </w:rPr>
              <w:t>04-25811111#207</w:t>
            </w:r>
          </w:p>
          <w:p w:rsidR="007D23DA" w:rsidRDefault="00091022">
            <w:pPr>
              <w:spacing w:line="360" w:lineRule="exact"/>
              <w:ind w:left="720" w:hanging="426"/>
              <w:jc w:val="both"/>
            </w:pPr>
            <w:r>
              <w:rPr>
                <w:rFonts w:ascii="Times New Roman" w:hAnsi="Times New Roman"/>
                <w:sz w:val="28"/>
              </w:rPr>
              <w:t>＊傳真：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04-25811604</w:t>
            </w:r>
          </w:p>
          <w:p w:rsidR="007D23DA" w:rsidRDefault="00091022">
            <w:pPr>
              <w:spacing w:line="0" w:lineRule="atLeast"/>
              <w:ind w:left="720" w:hanging="426"/>
              <w:jc w:val="both"/>
            </w:pPr>
            <w:r>
              <w:rPr>
                <w:rFonts w:ascii="Times New Roman" w:hAnsi="Times New Roman"/>
                <w:sz w:val="28"/>
              </w:rPr>
              <w:t>＊電子信箱：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>xinshe149@taichung.gov.tw</w:t>
            </w:r>
          </w:p>
          <w:p w:rsidR="007D23DA" w:rsidRDefault="00091022">
            <w:pPr>
              <w:spacing w:line="360" w:lineRule="exact"/>
              <w:ind w:left="540" w:hanging="54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二、發布形式</w:t>
            </w:r>
          </w:p>
          <w:p w:rsidR="007D23DA" w:rsidRDefault="00091022">
            <w:pPr>
              <w:numPr>
                <w:ilvl w:val="0"/>
                <w:numId w:val="3"/>
              </w:numPr>
              <w:spacing w:line="360" w:lineRule="exact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口頭：</w:t>
            </w:r>
          </w:p>
          <w:p w:rsidR="007D23DA" w:rsidRDefault="00091022">
            <w:pPr>
              <w:spacing w:line="360" w:lineRule="exact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      </w:t>
            </w:r>
            <w:r>
              <w:rPr>
                <w:rFonts w:ascii="Times New Roman" w:hAnsi="Times New Roman"/>
                <w:sz w:val="28"/>
              </w:rPr>
              <w:t>（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）記者會或說明會</w:t>
            </w:r>
          </w:p>
          <w:p w:rsidR="007D23DA" w:rsidRDefault="00091022">
            <w:pPr>
              <w:numPr>
                <w:ilvl w:val="0"/>
                <w:numId w:val="4"/>
              </w:numPr>
              <w:spacing w:line="360" w:lineRule="exact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書面：</w:t>
            </w:r>
          </w:p>
          <w:p w:rsidR="007D23DA" w:rsidRDefault="00091022">
            <w:pPr>
              <w:spacing w:line="360" w:lineRule="exact"/>
              <w:ind w:left="294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    </w:t>
            </w:r>
            <w:r>
              <w:rPr>
                <w:rFonts w:ascii="Times New Roman" w:hAnsi="Times New Roman"/>
                <w:sz w:val="28"/>
              </w:rPr>
              <w:t>（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）新聞稿</w:t>
            </w:r>
            <w:r>
              <w:rPr>
                <w:rFonts w:ascii="Times New Roman" w:hAnsi="Times New Roman"/>
                <w:sz w:val="28"/>
              </w:rPr>
              <w:t xml:space="preserve">   </w:t>
            </w:r>
            <w:r>
              <w:rPr>
                <w:rFonts w:ascii="Times New Roman" w:hAnsi="Times New Roman"/>
                <w:sz w:val="28"/>
              </w:rPr>
              <w:t>（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）報表</w:t>
            </w:r>
            <w:r>
              <w:rPr>
                <w:rFonts w:ascii="Times New Roman" w:hAnsi="Times New Roman"/>
                <w:sz w:val="28"/>
              </w:rPr>
              <w:t xml:space="preserve">   </w:t>
            </w:r>
            <w:r>
              <w:rPr>
                <w:rFonts w:ascii="Times New Roman" w:hAnsi="Times New Roman"/>
                <w:sz w:val="28"/>
              </w:rPr>
              <w:t>（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）書刊，刊名：</w:t>
            </w:r>
          </w:p>
          <w:p w:rsidR="007D23DA" w:rsidRDefault="00091022">
            <w:pPr>
              <w:spacing w:line="360" w:lineRule="exact"/>
              <w:ind w:left="294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＊電子媒體：</w:t>
            </w:r>
          </w:p>
          <w:p w:rsidR="007D23DA" w:rsidRDefault="00091022">
            <w:pPr>
              <w:spacing w:line="360" w:lineRule="exact"/>
              <w:ind w:left="966" w:right="-328" w:hanging="294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 </w:t>
            </w:r>
            <w:r>
              <w:rPr>
                <w:rFonts w:ascii="Times New Roman" w:hAnsi="Times New Roman"/>
                <w:sz w:val="28"/>
              </w:rPr>
              <w:t>（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）線上書刊及資料庫</w:t>
            </w:r>
          </w:p>
          <w:p w:rsidR="007D23DA" w:rsidRDefault="00091022">
            <w:pPr>
              <w:spacing w:line="360" w:lineRule="exact"/>
              <w:ind w:left="966" w:right="-328" w:hanging="294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 </w:t>
            </w:r>
            <w:r>
              <w:rPr>
                <w:rFonts w:ascii="Times New Roman" w:hAnsi="Times New Roman"/>
                <w:sz w:val="28"/>
              </w:rPr>
              <w:t>（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）磁片</w:t>
            </w:r>
            <w:r>
              <w:rPr>
                <w:rFonts w:ascii="Times New Roman" w:hAnsi="Times New Roman"/>
                <w:sz w:val="28"/>
              </w:rPr>
              <w:t xml:space="preserve">     </w:t>
            </w:r>
            <w:r>
              <w:rPr>
                <w:rFonts w:ascii="Times New Roman" w:hAnsi="Times New Roman"/>
                <w:sz w:val="28"/>
              </w:rPr>
              <w:t>（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）光碟片</w:t>
            </w:r>
            <w:r>
              <w:rPr>
                <w:rFonts w:ascii="Times New Roman" w:hAnsi="Times New Roman"/>
                <w:sz w:val="28"/>
              </w:rPr>
              <w:t xml:space="preserve">  </w:t>
            </w:r>
            <w:r>
              <w:rPr>
                <w:rFonts w:ascii="Times New Roman" w:hAnsi="Times New Roman"/>
                <w:sz w:val="28"/>
              </w:rPr>
              <w:t>（</w:t>
            </w:r>
            <w:r>
              <w:rPr>
                <w:rFonts w:ascii="Times New Roman" w:hAnsi="Times New Roman"/>
                <w:sz w:val="28"/>
              </w:rPr>
              <w:t>V</w:t>
            </w:r>
            <w:r>
              <w:rPr>
                <w:rFonts w:ascii="Times New Roman" w:hAnsi="Times New Roman"/>
                <w:sz w:val="28"/>
              </w:rPr>
              <w:t>）其他</w:t>
            </w:r>
            <w:r>
              <w:rPr>
                <w:rFonts w:ascii="Times New Roman" w:hAnsi="Times New Roman"/>
                <w:sz w:val="28"/>
              </w:rPr>
              <w:t>(</w:t>
            </w:r>
            <w:r>
              <w:rPr>
                <w:rFonts w:ascii="Times New Roman" w:hAnsi="Times New Roman"/>
                <w:sz w:val="28"/>
              </w:rPr>
              <w:t>報表</w:t>
            </w:r>
            <w:r>
              <w:rPr>
                <w:rFonts w:ascii="Times New Roman" w:hAnsi="Times New Roman"/>
                <w:sz w:val="28"/>
              </w:rPr>
              <w:t>)</w:t>
            </w:r>
          </w:p>
          <w:p w:rsidR="007D23DA" w:rsidRDefault="00091022">
            <w:pPr>
              <w:spacing w:before="240" w:line="360" w:lineRule="exact"/>
              <w:ind w:left="616" w:hanging="616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三、資料範圍、週期及時效</w:t>
            </w:r>
          </w:p>
          <w:p w:rsidR="007D23DA" w:rsidRDefault="00091022">
            <w:pPr>
              <w:spacing w:line="360" w:lineRule="exact"/>
              <w:ind w:left="3197" w:hanging="2948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＊統計地區範圍及對象：凡本區涉嫌觸犯妨害兵役治罪條例或替代役實施條例第七章罰則，依規定移送司法機關偵辦者，均為統計對象。</w:t>
            </w:r>
          </w:p>
          <w:p w:rsidR="007D23DA" w:rsidRDefault="00091022">
            <w:pPr>
              <w:spacing w:line="360" w:lineRule="exact"/>
              <w:ind w:firstLine="280"/>
              <w:jc w:val="both"/>
            </w:pPr>
            <w:r>
              <w:rPr>
                <w:rFonts w:ascii="Times New Roman" w:hAnsi="Times New Roman"/>
                <w:sz w:val="28"/>
              </w:rPr>
              <w:t>＊統計標準時間：</w:t>
            </w:r>
            <w:r>
              <w:rPr>
                <w:rFonts w:ascii="Times New Roman" w:hAnsi="Times New Roman"/>
                <w:sz w:val="28"/>
                <w:szCs w:val="28"/>
              </w:rPr>
              <w:t>以每年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月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日至</w:t>
            </w:r>
            <w:r>
              <w:rPr>
                <w:rFonts w:ascii="Times New Roman" w:hAnsi="Times New Roman"/>
                <w:sz w:val="28"/>
                <w:szCs w:val="28"/>
              </w:rPr>
              <w:t>12</w:t>
            </w:r>
            <w:r>
              <w:rPr>
                <w:rFonts w:ascii="Times New Roman" w:hAnsi="Times New Roman"/>
                <w:sz w:val="28"/>
                <w:szCs w:val="28"/>
              </w:rPr>
              <w:t>月</w:t>
            </w:r>
            <w:r>
              <w:rPr>
                <w:rFonts w:ascii="Times New Roman" w:hAnsi="Times New Roman"/>
                <w:sz w:val="28"/>
                <w:szCs w:val="28"/>
              </w:rPr>
              <w:t>31</w:t>
            </w:r>
            <w:r>
              <w:rPr>
                <w:rFonts w:ascii="Times New Roman" w:hAnsi="Times New Roman"/>
                <w:sz w:val="28"/>
                <w:szCs w:val="28"/>
              </w:rPr>
              <w:t>日之發生事件為準</w:t>
            </w:r>
          </w:p>
          <w:p w:rsidR="007D23DA" w:rsidRDefault="00091022">
            <w:pPr>
              <w:spacing w:line="360" w:lineRule="exact"/>
              <w:ind w:firstLine="28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＊統計項目定義：</w:t>
            </w:r>
          </w:p>
          <w:p w:rsidR="007D23DA" w:rsidRDefault="00091022">
            <w:pPr>
              <w:spacing w:line="360" w:lineRule="exact"/>
              <w:ind w:left="1320" w:hanging="840"/>
              <w:jc w:val="both"/>
            </w:pPr>
            <w:r>
              <w:rPr>
                <w:rFonts w:ascii="Times New Roman" w:hAnsi="Times New Roman"/>
                <w:sz w:val="28"/>
                <w:szCs w:val="24"/>
              </w:rPr>
              <w:t>（</w:t>
            </w:r>
            <w:r>
              <w:rPr>
                <w:rFonts w:ascii="Times New Roman" w:hAnsi="Times New Roman"/>
                <w:sz w:val="28"/>
              </w:rPr>
              <w:t>一）本年移送人數：係指當年全年移送人數。</w:t>
            </w:r>
          </w:p>
          <w:p w:rsidR="007D23DA" w:rsidRDefault="00091022">
            <w:pPr>
              <w:spacing w:line="360" w:lineRule="exact"/>
              <w:ind w:left="1320" w:hanging="840"/>
              <w:jc w:val="both"/>
            </w:pPr>
            <w:r>
              <w:rPr>
                <w:rFonts w:ascii="Times New Roman" w:hAnsi="Times New Roman"/>
                <w:sz w:val="28"/>
                <w:szCs w:val="24"/>
              </w:rPr>
              <w:t>（二）本年起訴人數</w:t>
            </w:r>
            <w:r>
              <w:rPr>
                <w:rFonts w:ascii="Times New Roman" w:hAnsi="Times New Roman"/>
                <w:sz w:val="28"/>
              </w:rPr>
              <w:t>、不起訴處分、緩起訴處分人數及審判結果確定人數</w:t>
            </w:r>
            <w:r>
              <w:rPr>
                <w:rFonts w:ascii="Times New Roman" w:hAnsi="Times New Roman"/>
                <w:sz w:val="28"/>
                <w:szCs w:val="24"/>
              </w:rPr>
              <w:t>：係指全年檢察機關偵辦完成，以及法院審判完成之人數，其中均包含以前年度移送，而於當年偵辦或審判完成者在內。</w:t>
            </w:r>
          </w:p>
          <w:p w:rsidR="007D23DA" w:rsidRDefault="00091022">
            <w:pPr>
              <w:snapToGrid w:val="0"/>
              <w:spacing w:line="360" w:lineRule="atLeast"/>
              <w:ind w:left="1320" w:hanging="840"/>
              <w:jc w:val="both"/>
            </w:pPr>
            <w:r>
              <w:rPr>
                <w:rFonts w:ascii="Times New Roman" w:hAnsi="Times New Roman"/>
                <w:sz w:val="28"/>
              </w:rPr>
              <w:t>（三）</w:t>
            </w:r>
            <w:r>
              <w:rPr>
                <w:rFonts w:ascii="Times New Roman" w:hAnsi="Times New Roman"/>
                <w:sz w:val="28"/>
                <w:szCs w:val="24"/>
              </w:rPr>
              <w:t>本年偵查終結其他處理人數；係指本年經檢察官偵查終結，案件已作成處理結果，惟該處理結果非屬起訴、緩起訴或不起訴處分之案件所涉人數，如移轉管轄、改作自訴、併案簽結、被告死亡或依法移送其他專屬機關等情形。</w:t>
            </w:r>
          </w:p>
          <w:p w:rsidR="007D23DA" w:rsidRDefault="00091022">
            <w:pPr>
              <w:spacing w:line="360" w:lineRule="exact"/>
              <w:ind w:left="1320" w:hanging="84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（四）年底偵查中人數：係指歷年移送人數至當年底尚在偵查中之人數。</w:t>
            </w:r>
          </w:p>
          <w:p w:rsidR="007D23DA" w:rsidRDefault="00091022">
            <w:pPr>
              <w:spacing w:line="360" w:lineRule="exact"/>
              <w:ind w:left="1320" w:hanging="84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（五）年底尚未宣判人數：係指歷年起訴人數至當年底尚未宣判之人數。</w:t>
            </w:r>
          </w:p>
          <w:p w:rsidR="007D23DA" w:rsidRDefault="00091022">
            <w:pPr>
              <w:spacing w:line="360" w:lineRule="exact"/>
              <w:ind w:firstLine="28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＊統計單位：人</w:t>
            </w:r>
          </w:p>
          <w:p w:rsidR="007D23DA" w:rsidRDefault="00091022">
            <w:pPr>
              <w:spacing w:line="360" w:lineRule="exact"/>
              <w:ind w:left="29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＊統計分類：</w:t>
            </w:r>
          </w:p>
          <w:p w:rsidR="007D23DA" w:rsidRDefault="00091022">
            <w:pPr>
              <w:snapToGrid w:val="0"/>
              <w:spacing w:line="360" w:lineRule="atLeast"/>
              <w:ind w:left="1502" w:hanging="1022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（一）</w:t>
            </w:r>
            <w:r>
              <w:rPr>
                <w:rFonts w:ascii="Times New Roman" w:hAnsi="Times New Roman"/>
                <w:sz w:val="28"/>
              </w:rPr>
              <w:t>1.</w:t>
            </w:r>
            <w:r>
              <w:rPr>
                <w:rFonts w:ascii="Times New Roman" w:hAnsi="Times New Roman"/>
                <w:sz w:val="28"/>
              </w:rPr>
              <w:t>按移送人數、起訴人數、不起訴處分、緩起訴處分人數、偵查終結其他處理人數及偵查中人數分。</w:t>
            </w:r>
          </w:p>
          <w:p w:rsidR="007D23DA" w:rsidRDefault="00091022">
            <w:pPr>
              <w:snapToGrid w:val="0"/>
              <w:spacing w:line="360" w:lineRule="atLeast"/>
              <w:ind w:left="1502" w:hanging="182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</w:t>
            </w:r>
            <w:r>
              <w:rPr>
                <w:rFonts w:ascii="Times New Roman" w:hAnsi="Times New Roman"/>
                <w:sz w:val="28"/>
              </w:rPr>
              <w:t>起訴人數</w:t>
            </w:r>
            <w:r>
              <w:rPr>
                <w:rFonts w:ascii="Times New Roman" w:hAnsi="Times New Roman"/>
                <w:sz w:val="28"/>
              </w:rPr>
              <w:t>(</w:t>
            </w:r>
            <w:r>
              <w:rPr>
                <w:rFonts w:ascii="Times New Roman" w:hAnsi="Times New Roman"/>
                <w:sz w:val="28"/>
              </w:rPr>
              <w:t>含歷年起訴尚未宣判者</w:t>
            </w:r>
            <w:r>
              <w:rPr>
                <w:rFonts w:ascii="Times New Roman" w:hAnsi="Times New Roman"/>
                <w:sz w:val="28"/>
              </w:rPr>
              <w:t>)</w:t>
            </w:r>
            <w:r>
              <w:rPr>
                <w:rFonts w:ascii="Times New Roman" w:hAnsi="Times New Roman"/>
                <w:sz w:val="28"/>
              </w:rPr>
              <w:t>按審判結果確定者之審判結果及尚未宣判者分。</w:t>
            </w:r>
          </w:p>
          <w:p w:rsidR="007D23DA" w:rsidRDefault="00091022">
            <w:pPr>
              <w:snapToGrid w:val="0"/>
              <w:spacing w:line="360" w:lineRule="atLeast"/>
              <w:ind w:left="1502" w:hanging="1022"/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lastRenderedPageBreak/>
              <w:t>（二）按「妨害兵役治罪條例」所規定之妨害兵役原因分。</w:t>
            </w:r>
          </w:p>
          <w:p w:rsidR="007D23DA" w:rsidRDefault="00091022">
            <w:pPr>
              <w:spacing w:line="360" w:lineRule="exact"/>
              <w:ind w:firstLine="28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＊發布週期：年</w:t>
            </w:r>
          </w:p>
          <w:p w:rsidR="007D23DA" w:rsidRDefault="00091022">
            <w:pPr>
              <w:spacing w:line="360" w:lineRule="exact"/>
              <w:ind w:firstLine="28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＊時效：</w:t>
            </w:r>
            <w:r>
              <w:rPr>
                <w:rFonts w:ascii="Times New Roman" w:hAnsi="Times New Roman"/>
                <w:sz w:val="28"/>
              </w:rPr>
              <w:t>0</w:t>
            </w:r>
            <w:r>
              <w:rPr>
                <w:rFonts w:ascii="Times New Roman" w:hAnsi="Times New Roman"/>
                <w:sz w:val="28"/>
              </w:rPr>
              <w:t>天</w:t>
            </w:r>
          </w:p>
          <w:p w:rsidR="007D23DA" w:rsidRDefault="00091022">
            <w:pPr>
              <w:spacing w:line="360" w:lineRule="exact"/>
              <w:ind w:firstLine="28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＊資料變革：無</w:t>
            </w:r>
          </w:p>
          <w:p w:rsidR="007D23DA" w:rsidRDefault="00091022">
            <w:pPr>
              <w:spacing w:before="240" w:line="360" w:lineRule="exact"/>
              <w:ind w:left="616" w:hanging="616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四、公開資料發布訊息</w:t>
            </w:r>
          </w:p>
          <w:p w:rsidR="007D23DA" w:rsidRDefault="00091022">
            <w:pPr>
              <w:spacing w:line="360" w:lineRule="exact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</w:t>
            </w:r>
            <w:r>
              <w:rPr>
                <w:rFonts w:ascii="Times New Roman" w:hAnsi="Times New Roman"/>
                <w:sz w:val="28"/>
              </w:rPr>
              <w:t>＊預告發布日期：每年</w:t>
            </w:r>
            <w:r>
              <w:rPr>
                <w:rFonts w:ascii="Times New Roman" w:hAnsi="Times New Roman"/>
                <w:sz w:val="28"/>
              </w:rPr>
              <w:t>12</w:t>
            </w:r>
            <w:r>
              <w:rPr>
                <w:rFonts w:ascii="Times New Roman" w:hAnsi="Times New Roman"/>
                <w:sz w:val="28"/>
              </w:rPr>
              <w:t>月</w:t>
            </w:r>
            <w:r>
              <w:rPr>
                <w:rFonts w:ascii="Times New Roman" w:hAnsi="Times New Roman"/>
                <w:sz w:val="28"/>
              </w:rPr>
              <w:t>25</w:t>
            </w:r>
            <w:r>
              <w:rPr>
                <w:rFonts w:ascii="Times New Roman" w:hAnsi="Times New Roman"/>
                <w:sz w:val="28"/>
              </w:rPr>
              <w:t>日</w:t>
            </w:r>
            <w:r>
              <w:rPr>
                <w:rFonts w:ascii="Times New Roman" w:hAnsi="Times New Roman"/>
                <w:sz w:val="28"/>
              </w:rPr>
              <w:t>(</w:t>
            </w:r>
            <w:r>
              <w:rPr>
                <w:rFonts w:ascii="Times New Roman" w:hAnsi="Times New Roman"/>
                <w:sz w:val="28"/>
              </w:rPr>
              <w:t>原訂預告發布日期如遇例假日或國定假日則延至下一個工作日發布</w:t>
            </w:r>
            <w:r>
              <w:rPr>
                <w:rFonts w:ascii="Times New Roman" w:hAnsi="Times New Roman"/>
                <w:sz w:val="28"/>
              </w:rPr>
              <w:t>)</w:t>
            </w:r>
            <w:r>
              <w:rPr>
                <w:rFonts w:ascii="Times New Roman" w:hAnsi="Times New Roman"/>
                <w:sz w:val="28"/>
              </w:rPr>
              <w:t>。</w:t>
            </w:r>
          </w:p>
          <w:p w:rsidR="007D23DA" w:rsidRDefault="00091022">
            <w:pPr>
              <w:spacing w:line="360" w:lineRule="exact"/>
              <w:ind w:left="560" w:hanging="308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＊同步發送單位：臺中市政府主計處。</w:t>
            </w:r>
          </w:p>
          <w:p w:rsidR="007D23DA" w:rsidRDefault="00091022">
            <w:pPr>
              <w:spacing w:before="240" w:line="360" w:lineRule="exact"/>
              <w:ind w:left="616" w:hanging="616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五、資料品質</w:t>
            </w:r>
          </w:p>
          <w:p w:rsidR="007D23DA" w:rsidRDefault="00091022">
            <w:pPr>
              <w:tabs>
                <w:tab w:val="left" w:pos="8520"/>
              </w:tabs>
              <w:spacing w:line="360" w:lineRule="exact"/>
              <w:ind w:left="532" w:hanging="294"/>
              <w:jc w:val="both"/>
            </w:pPr>
            <w:r>
              <w:rPr>
                <w:rFonts w:ascii="Times New Roman" w:hAnsi="Times New Roman"/>
                <w:sz w:val="28"/>
              </w:rPr>
              <w:t>＊統計指標編製方法與資料來源說明：</w:t>
            </w:r>
            <w:r>
              <w:rPr>
                <w:sz w:val="28"/>
                <w:szCs w:val="24"/>
              </w:rPr>
              <w:t>本所人文課依據妨害兵役報告書資料</w:t>
            </w:r>
            <w:r>
              <w:rPr>
                <w:rFonts w:ascii="Times New Roman" w:hAnsi="Times New Roman"/>
                <w:sz w:val="28"/>
              </w:rPr>
              <w:t>編製。</w:t>
            </w:r>
          </w:p>
          <w:p w:rsidR="007D23DA" w:rsidRDefault="00091022">
            <w:pPr>
              <w:tabs>
                <w:tab w:val="left" w:pos="8520"/>
              </w:tabs>
              <w:spacing w:line="360" w:lineRule="exact"/>
              <w:ind w:left="532" w:hanging="294"/>
              <w:jc w:val="both"/>
            </w:pPr>
            <w:r>
              <w:rPr>
                <w:rFonts w:ascii="Times New Roman" w:hAnsi="Times New Roman"/>
                <w:sz w:val="28"/>
              </w:rPr>
              <w:t>＊統計資料交叉查核及確保資料合理性之機制：</w:t>
            </w:r>
            <w:r>
              <w:rPr>
                <w:rFonts w:ascii="Times New Roman" w:hAnsi="Times New Roman"/>
                <w:sz w:val="28"/>
                <w:szCs w:val="28"/>
              </w:rPr>
              <w:t>由電腦系統自動進行加總交叉查核。</w:t>
            </w:r>
          </w:p>
          <w:p w:rsidR="007D23DA" w:rsidRDefault="00091022">
            <w:pPr>
              <w:spacing w:before="240" w:line="360" w:lineRule="exact"/>
              <w:ind w:left="600" w:hanging="60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六、須注意及預定改變之事項：表號</w:t>
            </w:r>
            <w:r>
              <w:rPr>
                <w:rFonts w:ascii="Times New Roman" w:hAnsi="Times New Roman"/>
                <w:sz w:val="28"/>
              </w:rPr>
              <w:t xml:space="preserve"> 10963-00-01-3</w:t>
            </w:r>
          </w:p>
          <w:p w:rsidR="007D23DA" w:rsidRDefault="00091022">
            <w:pPr>
              <w:spacing w:before="240" w:line="360" w:lineRule="exact"/>
              <w:ind w:left="600" w:hanging="600"/>
              <w:jc w:val="both"/>
            </w:pPr>
            <w:r>
              <w:rPr>
                <w:rFonts w:ascii="Times New Roman" w:hAnsi="Times New Roman"/>
                <w:sz w:val="28"/>
              </w:rPr>
              <w:t>七、其他事項：無。</w:t>
            </w:r>
          </w:p>
        </w:tc>
      </w:tr>
    </w:tbl>
    <w:p w:rsidR="007D23DA" w:rsidRDefault="007D23DA">
      <w:pPr>
        <w:rPr>
          <w:rFonts w:ascii="Times New Roman" w:hAnsi="Times New Roman"/>
        </w:rPr>
      </w:pPr>
    </w:p>
    <w:sectPr w:rsidR="007D23DA">
      <w:headerReference w:type="default" r:id="rId7"/>
      <w:pgSz w:w="11906" w:h="16838"/>
      <w:pgMar w:top="794" w:right="1440" w:bottom="794" w:left="1440" w:header="851" w:footer="992" w:gutter="0"/>
      <w:cols w:space="720"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091022">
      <w:r>
        <w:separator/>
      </w:r>
    </w:p>
  </w:endnote>
  <w:endnote w:type="continuationSeparator" w:id="0">
    <w:p w:rsidR="00000000" w:rsidRDefault="000910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091022">
      <w:r>
        <w:rPr>
          <w:color w:val="000000"/>
        </w:rPr>
        <w:separator/>
      </w:r>
    </w:p>
  </w:footnote>
  <w:footnote w:type="continuationSeparator" w:id="0">
    <w:p w:rsidR="00000000" w:rsidRDefault="000910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544DF" w:rsidRDefault="00091022">
    <w:pPr>
      <w:pStyle w:val="a7"/>
    </w:pPr>
  </w:p>
  <w:p w:rsidR="006544DF" w:rsidRDefault="0009102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A004C"/>
    <w:multiLevelType w:val="multilevel"/>
    <w:tmpl w:val="34DA07E8"/>
    <w:styleLink w:val="LFO1"/>
    <w:lvl w:ilvl="0">
      <w:start w:val="1"/>
      <w:numFmt w:val="taiwaneseCountingThousand"/>
      <w:pStyle w:val="1"/>
      <w:lvlText w:val="第%1章"/>
      <w:lvlJc w:val="left"/>
      <w:pPr>
        <w:ind w:left="960" w:hanging="9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45F1B2B"/>
    <w:multiLevelType w:val="multilevel"/>
    <w:tmpl w:val="D08AB4C2"/>
    <w:lvl w:ilvl="0">
      <w:numFmt w:val="bullet"/>
      <w:lvlText w:val="＊"/>
      <w:lvlJc w:val="left"/>
      <w:pPr>
        <w:ind w:left="579" w:hanging="285"/>
      </w:pPr>
      <w:rPr>
        <w:rFonts w:ascii="標楷體" w:eastAsia="標楷體" w:hAnsi="標楷體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2" w15:restartNumberingAfterBreak="0">
    <w:nsid w:val="30C06C06"/>
    <w:multiLevelType w:val="multilevel"/>
    <w:tmpl w:val="D430B8DE"/>
    <w:lvl w:ilvl="0">
      <w:numFmt w:val="bullet"/>
      <w:lvlText w:val="＊"/>
      <w:lvlJc w:val="left"/>
      <w:pPr>
        <w:ind w:left="579" w:hanging="285"/>
      </w:pPr>
      <w:rPr>
        <w:rFonts w:ascii="標楷體" w:eastAsia="標楷體" w:hAnsi="標楷體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3" w15:restartNumberingAfterBreak="0">
    <w:nsid w:val="601C6C9D"/>
    <w:multiLevelType w:val="multilevel"/>
    <w:tmpl w:val="2D047510"/>
    <w:styleLink w:val="LFO2"/>
    <w:lvl w:ilvl="0">
      <w:start w:val="1"/>
      <w:numFmt w:val="taiwaneseCountingThousand"/>
      <w:pStyle w:val="a"/>
      <w:lvlText w:val="%1、"/>
      <w:lvlJc w:val="left"/>
      <w:pPr>
        <w:ind w:left="1440" w:hanging="480"/>
      </w:pPr>
    </w:lvl>
    <w:lvl w:ilvl="1">
      <w:start w:val="1"/>
      <w:numFmt w:val="ideographTradition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num w:numId="1" w16cid:durableId="1704213166">
    <w:abstractNumId w:val="0"/>
  </w:num>
  <w:num w:numId="2" w16cid:durableId="960499264">
    <w:abstractNumId w:val="3"/>
  </w:num>
  <w:num w:numId="3" w16cid:durableId="2059932856">
    <w:abstractNumId w:val="1"/>
  </w:num>
  <w:num w:numId="4" w16cid:durableId="12201659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7D23DA"/>
    <w:rsid w:val="00091022"/>
    <w:rsid w:val="007D2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9B478F27-1296-4226-AE9F-2D799328B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widowControl w:val="0"/>
      <w:suppressAutoHyphens/>
    </w:pPr>
    <w:rPr>
      <w:rFonts w:ascii="標楷體" w:eastAsia="標楷體" w:hAnsi="標楷體"/>
      <w:kern w:val="3"/>
      <w:sz w:val="24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pPr>
      <w:ind w:left="480"/>
    </w:pPr>
    <w:rPr>
      <w:rFonts w:ascii="Calibri" w:eastAsia="新細明體" w:hAnsi="Calibri"/>
    </w:rPr>
  </w:style>
  <w:style w:type="character" w:customStyle="1" w:styleId="a5">
    <w:name w:val="清單段落 字元"/>
    <w:rPr>
      <w:kern w:val="3"/>
      <w:sz w:val="24"/>
      <w:szCs w:val="22"/>
    </w:rPr>
  </w:style>
  <w:style w:type="paragraph" w:customStyle="1" w:styleId="1">
    <w:name w:val="1.章"/>
    <w:basedOn w:val="a4"/>
    <w:pPr>
      <w:numPr>
        <w:numId w:val="1"/>
      </w:numPr>
    </w:pPr>
    <w:rPr>
      <w:rFonts w:ascii="Times New Roman" w:eastAsia="標楷體" w:hAnsi="Times New Roman"/>
      <w:sz w:val="32"/>
      <w:szCs w:val="32"/>
    </w:rPr>
  </w:style>
  <w:style w:type="character" w:customStyle="1" w:styleId="10">
    <w:name w:val="1.章 字元"/>
    <w:rPr>
      <w:rFonts w:ascii="Times New Roman" w:eastAsia="標楷體" w:hAnsi="Times New Roman"/>
      <w:kern w:val="3"/>
      <w:sz w:val="32"/>
      <w:szCs w:val="32"/>
    </w:rPr>
  </w:style>
  <w:style w:type="paragraph" w:customStyle="1" w:styleId="a">
    <w:name w:val="節"/>
    <w:basedOn w:val="a4"/>
    <w:pPr>
      <w:numPr>
        <w:numId w:val="2"/>
      </w:numPr>
    </w:pPr>
    <w:rPr>
      <w:rFonts w:ascii="Times New Roman" w:eastAsia="標楷體" w:hAnsi="Times New Roman"/>
    </w:rPr>
  </w:style>
  <w:style w:type="character" w:customStyle="1" w:styleId="a6">
    <w:name w:val="節 字元"/>
    <w:rPr>
      <w:rFonts w:ascii="Times New Roman" w:eastAsia="標楷體" w:hAnsi="Times New Roman"/>
      <w:kern w:val="3"/>
      <w:sz w:val="24"/>
      <w:szCs w:val="22"/>
    </w:rPr>
  </w:style>
  <w:style w:type="paragraph" w:styleId="a7">
    <w:name w:val="head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rPr>
      <w:rFonts w:ascii="標楷體" w:eastAsia="標楷體" w:hAnsi="標楷體"/>
      <w:kern w:val="3"/>
    </w:rPr>
  </w:style>
  <w:style w:type="paragraph" w:styleId="a9">
    <w:name w:val="foot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rPr>
      <w:rFonts w:ascii="標楷體" w:eastAsia="標楷體" w:hAnsi="標楷體"/>
      <w:kern w:val="3"/>
    </w:rPr>
  </w:style>
  <w:style w:type="paragraph" w:styleId="ab">
    <w:name w:val="Balloon Text"/>
    <w:basedOn w:val="a0"/>
    <w:rPr>
      <w:rFonts w:ascii="Cambria" w:eastAsia="新細明體" w:hAnsi="Cambria"/>
      <w:sz w:val="18"/>
      <w:szCs w:val="18"/>
    </w:rPr>
  </w:style>
  <w:style w:type="character" w:customStyle="1" w:styleId="ac">
    <w:name w:val="註解方塊文字 字元"/>
    <w:rPr>
      <w:rFonts w:ascii="Cambria" w:eastAsia="新細明體" w:hAnsi="Cambria" w:cs="Times New Roman"/>
      <w:kern w:val="3"/>
      <w:sz w:val="18"/>
      <w:szCs w:val="18"/>
    </w:rPr>
  </w:style>
  <w:style w:type="character" w:styleId="ad">
    <w:name w:val="annotation reference"/>
    <w:rPr>
      <w:sz w:val="18"/>
      <w:szCs w:val="18"/>
    </w:rPr>
  </w:style>
  <w:style w:type="paragraph" w:styleId="ae">
    <w:name w:val="annotation text"/>
    <w:basedOn w:val="a0"/>
  </w:style>
  <w:style w:type="character" w:customStyle="1" w:styleId="af">
    <w:name w:val="註解文字 字元"/>
    <w:rPr>
      <w:rFonts w:ascii="標楷體" w:eastAsia="標楷體" w:hAnsi="標楷體"/>
      <w:kern w:val="3"/>
      <w:sz w:val="24"/>
      <w:szCs w:val="22"/>
    </w:rPr>
  </w:style>
  <w:style w:type="paragraph" w:styleId="af0">
    <w:name w:val="annotation subject"/>
    <w:basedOn w:val="ae"/>
    <w:next w:val="ae"/>
    <w:rPr>
      <w:b/>
      <w:bCs/>
    </w:rPr>
  </w:style>
  <w:style w:type="character" w:customStyle="1" w:styleId="af1">
    <w:name w:val="註解主旨 字元"/>
    <w:rPr>
      <w:rFonts w:ascii="標楷體" w:eastAsia="標楷體" w:hAnsi="標楷體"/>
      <w:b/>
      <w:bCs/>
      <w:kern w:val="3"/>
      <w:sz w:val="24"/>
      <w:szCs w:val="22"/>
    </w:rPr>
  </w:style>
  <w:style w:type="character" w:styleId="af2">
    <w:name w:val="Hyperlink"/>
    <w:rPr>
      <w:color w:val="0000FF"/>
      <w:u w:val="single"/>
    </w:rPr>
  </w:style>
  <w:style w:type="character" w:styleId="af3">
    <w:name w:val="Unresolved Mention"/>
    <w:rPr>
      <w:color w:val="605E5C"/>
      <w:shd w:val="clear" w:color="auto" w:fill="E1DFDD"/>
    </w:rPr>
  </w:style>
  <w:style w:type="numbering" w:customStyle="1" w:styleId="LFO1">
    <w:name w:val="LFO1"/>
    <w:basedOn w:val="a3"/>
    <w:pPr>
      <w:numPr>
        <w:numId w:val="1"/>
      </w:numPr>
    </w:pPr>
  </w:style>
  <w:style w:type="numbering" w:customStyle="1" w:styleId="LFO2">
    <w:name w:val="LFO2"/>
    <w:basedOn w:val="a3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154</Words>
  <Characters>879</Characters>
  <Application>Microsoft Office Word</Application>
  <DocSecurity>0</DocSecurity>
  <Lines>7</Lines>
  <Paragraphs>2</Paragraphs>
  <ScaleCrop>false</ScaleCrop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統計資料背景說明</dc:title>
  <dc:subject/>
  <dc:creator>Damita</dc:creator>
  <cp:lastModifiedBy>cws</cp:lastModifiedBy>
  <cp:revision>2</cp:revision>
  <dcterms:created xsi:type="dcterms:W3CDTF">2026-03-17T00:55:00Z</dcterms:created>
  <dcterms:modified xsi:type="dcterms:W3CDTF">2026-03-17T00:55:00Z</dcterms:modified>
</cp:coreProperties>
</file>