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0EA" w:rsidRDefault="009F45FF">
      <w:pPr>
        <w:pStyle w:val="Standard"/>
        <w:jc w:val="center"/>
        <w:rPr>
          <w:rFonts w:eastAsia="標楷體"/>
          <w:b/>
          <w:sz w:val="32"/>
          <w:szCs w:val="32"/>
        </w:rPr>
      </w:pPr>
      <w:r>
        <w:rPr>
          <w:rFonts w:eastAsia="標楷體"/>
          <w:b/>
          <w:sz w:val="32"/>
          <w:szCs w:val="32"/>
        </w:rPr>
        <w:t>統計資料背景說明</w:t>
      </w:r>
    </w:p>
    <w:p w:rsidR="005B00EA" w:rsidRDefault="009F45FF">
      <w:pPr>
        <w:pStyle w:val="Standard"/>
      </w:pPr>
      <w:r>
        <w:rPr>
          <w:rFonts w:ascii="標楷體" w:eastAsia="標楷體" w:hAnsi="標楷體" w:cs="標楷體"/>
        </w:rPr>
        <w:t>資料種類：</w:t>
      </w:r>
      <w:r>
        <w:rPr>
          <w:rFonts w:eastAsia="標楷體"/>
          <w:szCs w:val="20"/>
        </w:rPr>
        <w:t>畜牧業統計</w:t>
      </w:r>
    </w:p>
    <w:p w:rsidR="005B00EA" w:rsidRDefault="009F45FF">
      <w:pPr>
        <w:pStyle w:val="Standard"/>
        <w:rPr>
          <w:rFonts w:ascii="標楷體" w:eastAsia="標楷體" w:hAnsi="標楷體" w:cs="標楷體"/>
        </w:rPr>
      </w:pPr>
      <w:r>
        <w:rPr>
          <w:rFonts w:ascii="標楷體" w:eastAsia="標楷體" w:hAnsi="標楷體" w:cs="標楷體"/>
        </w:rPr>
        <w:t>資料項目：臺中市畜牧場口蹄疫血清學監測件數統計</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一、發布及編製機關單位</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＊發布機關、單位：臺中市動物保護防疫處會計室</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＊編製單位：臺中市動物保護防疫處豬病防疫及病性鑑定組、草食動物及禽病防疫組</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＊聯絡電話：04-23869420</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＊傳真：04-23869291</w:t>
      </w:r>
    </w:p>
    <w:p w:rsidR="005B00EA" w:rsidRDefault="009F45FF">
      <w:pPr>
        <w:pStyle w:val="Standard"/>
        <w:numPr>
          <w:ilvl w:val="0"/>
          <w:numId w:val="4"/>
        </w:numPr>
        <w:spacing w:line="0" w:lineRule="atLeast"/>
        <w:rPr>
          <w:rFonts w:ascii="標楷體" w:eastAsia="標楷體" w:hAnsi="標楷體" w:cs="標楷體"/>
        </w:rPr>
      </w:pPr>
      <w:r>
        <w:rPr>
          <w:rFonts w:ascii="標楷體" w:eastAsia="標楷體" w:hAnsi="標楷體" w:cs="標楷體"/>
        </w:rPr>
        <w:t>電子信箱：</w:t>
      </w:r>
      <w:r w:rsidR="00344C74">
        <w:rPr>
          <w:rFonts w:ascii="微軟正黑體" w:eastAsia="微軟正黑體" w:hAnsi="微軟正黑體" w:hint="eastAsia"/>
          <w:color w:val="333333"/>
          <w:sz w:val="23"/>
          <w:szCs w:val="23"/>
          <w:shd w:val="clear" w:color="auto" w:fill="FFFFFF"/>
        </w:rPr>
        <w:t>tilapia42@taichung.gov.tw</w:t>
      </w:r>
    </w:p>
    <w:p w:rsidR="005B00EA" w:rsidRDefault="005B00EA">
      <w:pPr>
        <w:pStyle w:val="Standard"/>
        <w:spacing w:line="0" w:lineRule="atLeast"/>
        <w:ind w:left="360"/>
        <w:rPr>
          <w:rFonts w:ascii="標楷體" w:eastAsia="標楷體" w:hAnsi="標楷體" w:cs="標楷體"/>
        </w:rPr>
      </w:pPr>
    </w:p>
    <w:p w:rsidR="005B00EA" w:rsidRDefault="009F45FF">
      <w:pPr>
        <w:pStyle w:val="Standard"/>
        <w:spacing w:line="0" w:lineRule="atLeast"/>
        <w:rPr>
          <w:rFonts w:ascii="標楷體" w:eastAsia="標楷體" w:hAnsi="標楷體" w:cs="標楷體"/>
        </w:rPr>
      </w:pPr>
      <w:r>
        <w:rPr>
          <w:rFonts w:ascii="標楷體" w:eastAsia="標楷體" w:hAnsi="標楷體" w:cs="標楷體"/>
        </w:rPr>
        <w:t>二、發布形式</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＊口頭：（　）記者會或說明會。</w:t>
      </w:r>
    </w:p>
    <w:p w:rsidR="005B00EA" w:rsidRDefault="009F45FF">
      <w:pPr>
        <w:pStyle w:val="Standard"/>
        <w:spacing w:line="0" w:lineRule="atLeast"/>
      </w:pPr>
      <w:r>
        <w:rPr>
          <w:rFonts w:ascii="標楷體" w:eastAsia="標楷體" w:hAnsi="標楷體" w:cs="標楷體"/>
        </w:rPr>
        <w:t>＊書面：（　）新聞稿　（</w:t>
      </w:r>
      <w:r w:rsidR="00A751E2">
        <w:rPr>
          <w:rFonts w:ascii="標楷體" w:eastAsia="標楷體" w:hAnsi="標楷體" w:cs="標楷體" w:hint="eastAsia"/>
        </w:rPr>
        <w:t xml:space="preserve"> </w:t>
      </w:r>
      <w:r>
        <w:rPr>
          <w:rFonts w:ascii="標楷體" w:eastAsia="標楷體" w:hAnsi="標楷體" w:cs="標楷體"/>
        </w:rPr>
        <w:t>）報表　（　）書刊，刊名：</w:t>
      </w:r>
      <w:r>
        <w:rPr>
          <w:rFonts w:ascii="標楷體" w:eastAsia="標楷體" w:hAnsi="標楷體" w:cs="標楷體"/>
          <w:u w:val="single"/>
        </w:rPr>
        <w:t xml:space="preserve">　　　　　　　　</w:t>
      </w:r>
      <w:r>
        <w:rPr>
          <w:rFonts w:ascii="標楷體" w:eastAsia="標楷體" w:hAnsi="標楷體" w:cs="標楷體"/>
        </w:rPr>
        <w:t>。</w:t>
      </w:r>
    </w:p>
    <w:p w:rsidR="005B00EA" w:rsidRDefault="009F45FF">
      <w:pPr>
        <w:pStyle w:val="Standard"/>
        <w:spacing w:line="0" w:lineRule="atLeast"/>
      </w:pPr>
      <w:r>
        <w:rPr>
          <w:rFonts w:ascii="標楷體" w:eastAsia="標楷體" w:hAnsi="標楷體" w:cs="標楷體"/>
        </w:rPr>
        <w:t>＊電子媒體： (  ）網際網路  （　 ）磁片　（　）光碟片　（</w:t>
      </w:r>
      <w:r w:rsidR="00A751E2">
        <w:rPr>
          <w:rFonts w:ascii="標楷體" w:eastAsia="標楷體" w:hAnsi="標楷體" w:cs="標楷體"/>
        </w:rPr>
        <w:t>ˇ</w:t>
      </w:r>
      <w:r>
        <w:rPr>
          <w:rFonts w:ascii="標楷體" w:eastAsia="標楷體" w:hAnsi="標楷體" w:cs="標楷體"/>
        </w:rPr>
        <w:t>）其它</w:t>
      </w:r>
      <w:r w:rsidR="00A751E2">
        <w:rPr>
          <w:rFonts w:ascii="標楷體" w:eastAsia="標楷體" w:hAnsi="標楷體" w:cs="標楷體" w:hint="eastAsia"/>
        </w:rPr>
        <w:t>(</w:t>
      </w:r>
      <w:r w:rsidR="00A751E2" w:rsidRPr="00A751E2">
        <w:rPr>
          <w:rFonts w:ascii="標楷體" w:eastAsia="標楷體" w:hAnsi="標楷體" w:cs="標楷體" w:hint="eastAsia"/>
        </w:rPr>
        <w:t>報表</w:t>
      </w:r>
      <w:r w:rsidR="00A751E2">
        <w:rPr>
          <w:rFonts w:ascii="標楷體" w:eastAsia="標楷體" w:hAnsi="標楷體" w:cs="標楷體" w:hint="eastAsia"/>
        </w:rPr>
        <w:t>)</w:t>
      </w:r>
      <w:r>
        <w:rPr>
          <w:rFonts w:ascii="標楷體" w:eastAsia="標楷體" w:hAnsi="標楷體" w:cs="標楷體"/>
        </w:rPr>
        <w:t xml:space="preserve">。             </w:t>
      </w:r>
      <w:bookmarkStart w:id="0" w:name="_GoBack"/>
      <w:bookmarkEnd w:id="0"/>
    </w:p>
    <w:p w:rsidR="005B00EA" w:rsidRDefault="005B00EA">
      <w:pPr>
        <w:pStyle w:val="Standard"/>
        <w:spacing w:line="0" w:lineRule="atLeast"/>
        <w:ind w:firstLine="1440"/>
        <w:rPr>
          <w:rFonts w:ascii="標楷體" w:eastAsia="標楷體" w:hAnsi="標楷體" w:cs="標楷體"/>
        </w:rPr>
      </w:pPr>
    </w:p>
    <w:p w:rsidR="005B00EA" w:rsidRDefault="009F45FF">
      <w:pPr>
        <w:pStyle w:val="Standard"/>
        <w:spacing w:line="0" w:lineRule="atLeast"/>
        <w:rPr>
          <w:rFonts w:ascii="標楷體" w:eastAsia="標楷體" w:hAnsi="標楷體" w:cs="標楷體"/>
        </w:rPr>
      </w:pPr>
      <w:r>
        <w:rPr>
          <w:rFonts w:ascii="標楷體" w:eastAsia="標楷體" w:hAnsi="標楷體" w:cs="標楷體"/>
        </w:rPr>
        <w:t>三、資料範圍、週期及時效</w:t>
      </w:r>
    </w:p>
    <w:p w:rsidR="005B00EA" w:rsidRDefault="009F45FF">
      <w:pPr>
        <w:pStyle w:val="Standard"/>
        <w:spacing w:line="0" w:lineRule="atLeast"/>
        <w:ind w:left="2520" w:hanging="2520"/>
      </w:pPr>
      <w:r>
        <w:rPr>
          <w:rFonts w:ascii="標楷體" w:eastAsia="標楷體" w:hAnsi="標楷體" w:cs="標楷體"/>
        </w:rPr>
        <w:t>＊統計地區範圍及對象：</w:t>
      </w:r>
      <w:r>
        <w:rPr>
          <w:rFonts w:ascii="標楷體" w:eastAsia="標楷體" w:hAnsi="標楷體" w:cs="標楷體"/>
          <w:color w:val="000000"/>
        </w:rPr>
        <w:t>本市轄內畜牧場所飼養之豬、牛、羊為統計對象。</w:t>
      </w:r>
    </w:p>
    <w:p w:rsidR="005B00EA" w:rsidRDefault="009F45FF">
      <w:pPr>
        <w:pStyle w:val="Standard"/>
        <w:spacing w:line="0" w:lineRule="atLeast"/>
        <w:ind w:left="1920" w:hanging="1920"/>
        <w:rPr>
          <w:rFonts w:ascii="標楷體" w:eastAsia="標楷體" w:hAnsi="標楷體" w:cs="標楷體"/>
        </w:rPr>
      </w:pPr>
      <w:r>
        <w:rPr>
          <w:rFonts w:ascii="標楷體" w:eastAsia="標楷體" w:hAnsi="標楷體" w:cs="標楷體"/>
        </w:rPr>
        <w:t>＊統計標準時間：以每年1月1日起至12月31日止之事實為準。</w:t>
      </w:r>
    </w:p>
    <w:p w:rsidR="005B00EA" w:rsidRDefault="009F45FF">
      <w:pPr>
        <w:pStyle w:val="Standard"/>
        <w:spacing w:line="0" w:lineRule="atLeast"/>
        <w:ind w:left="1920" w:hanging="1920"/>
      </w:pPr>
      <w:r>
        <w:rPr>
          <w:rFonts w:ascii="標楷體" w:eastAsia="標楷體" w:hAnsi="標楷體" w:cs="標楷體"/>
        </w:rPr>
        <w:t>＊統計項目定義：</w:t>
      </w:r>
      <w:r>
        <w:rPr>
          <w:rFonts w:ascii="標楷體" w:eastAsia="標楷體" w:hAnsi="標楷體" w:cs="標楷體"/>
          <w:color w:val="000000"/>
        </w:rPr>
        <w:t>指符合動物傳染病防治條例所規範之動物(豬、牛、羊)。</w:t>
      </w:r>
    </w:p>
    <w:p w:rsidR="005B00EA" w:rsidRDefault="009F45FF">
      <w:pPr>
        <w:pStyle w:val="Standard"/>
        <w:spacing w:line="0" w:lineRule="atLeast"/>
        <w:ind w:left="1920" w:hanging="1920"/>
        <w:rPr>
          <w:rFonts w:ascii="標楷體" w:eastAsia="標楷體" w:hAnsi="標楷體" w:cs="標楷體"/>
        </w:rPr>
      </w:pPr>
      <w:r>
        <w:rPr>
          <w:rFonts w:ascii="標楷體" w:eastAsia="標楷體" w:hAnsi="標楷體" w:cs="標楷體"/>
        </w:rPr>
        <w:t>＊統計單位：件數</w:t>
      </w:r>
    </w:p>
    <w:p w:rsidR="005B00EA" w:rsidRDefault="009F45FF">
      <w:pPr>
        <w:pStyle w:val="Standard"/>
        <w:numPr>
          <w:ilvl w:val="0"/>
          <w:numId w:val="5"/>
        </w:numPr>
        <w:spacing w:line="0" w:lineRule="atLeast"/>
      </w:pPr>
      <w:r>
        <w:rPr>
          <w:rFonts w:ascii="標楷體" w:eastAsia="標楷體" w:hAnsi="標楷體" w:cs="標楷體"/>
        </w:rPr>
        <w:t>統計分類：</w:t>
      </w:r>
      <w:r>
        <w:rPr>
          <w:rFonts w:ascii="標楷體" w:eastAsia="標楷體" w:hAnsi="標楷體" w:cs="標楷體"/>
          <w:color w:val="000000"/>
        </w:rPr>
        <w:t>按動物別分為豬、牛、羊。</w:t>
      </w:r>
    </w:p>
    <w:p w:rsidR="005B00EA" w:rsidRDefault="009F45FF">
      <w:pPr>
        <w:pStyle w:val="Standard"/>
        <w:spacing w:line="0" w:lineRule="atLeast"/>
        <w:rPr>
          <w:rFonts w:ascii="標楷體" w:eastAsia="標楷體" w:hAnsi="標楷體" w:cs="標楷體"/>
        </w:rPr>
      </w:pPr>
      <w:r>
        <w:rPr>
          <w:rFonts w:ascii="標楷體" w:eastAsia="標楷體" w:hAnsi="標楷體" w:cs="標楷體"/>
        </w:rPr>
        <w:t>＊發布週期：年。</w:t>
      </w:r>
    </w:p>
    <w:p w:rsidR="005B00EA" w:rsidRDefault="009F45FF">
      <w:pPr>
        <w:pStyle w:val="Standard"/>
        <w:numPr>
          <w:ilvl w:val="0"/>
          <w:numId w:val="2"/>
        </w:numPr>
        <w:spacing w:line="0" w:lineRule="atLeast"/>
        <w:rPr>
          <w:rFonts w:ascii="標楷體" w:eastAsia="標楷體" w:hAnsi="標楷體" w:cs="標楷體"/>
        </w:rPr>
      </w:pPr>
      <w:r>
        <w:rPr>
          <w:rFonts w:ascii="標楷體" w:eastAsia="標楷體" w:hAnsi="標楷體" w:cs="標楷體"/>
        </w:rPr>
        <w:t>時效：2個月</w:t>
      </w:r>
    </w:p>
    <w:p w:rsidR="005B00EA" w:rsidRDefault="005B00EA">
      <w:pPr>
        <w:pStyle w:val="Standard"/>
        <w:spacing w:line="0" w:lineRule="atLeast"/>
        <w:rPr>
          <w:rFonts w:ascii="標楷體" w:eastAsia="標楷體" w:hAnsi="標楷體" w:cs="標楷體"/>
        </w:rPr>
      </w:pPr>
    </w:p>
    <w:p w:rsidR="005B00EA" w:rsidRDefault="009F45FF">
      <w:pPr>
        <w:pStyle w:val="Standard"/>
        <w:spacing w:line="0" w:lineRule="atLeast"/>
        <w:rPr>
          <w:rFonts w:ascii="標楷體" w:eastAsia="標楷體" w:hAnsi="標楷體" w:cs="標楷體"/>
        </w:rPr>
      </w:pPr>
      <w:r>
        <w:rPr>
          <w:rFonts w:ascii="標楷體" w:eastAsia="標楷體" w:hAnsi="標楷體" w:cs="標楷體"/>
        </w:rPr>
        <w:t>四、公開資料發布訊息</w:t>
      </w:r>
    </w:p>
    <w:p w:rsidR="005B00EA" w:rsidRDefault="009F45FF">
      <w:pPr>
        <w:pStyle w:val="Standard"/>
        <w:spacing w:line="0" w:lineRule="atLeast"/>
        <w:ind w:left="1824" w:hanging="1824"/>
        <w:rPr>
          <w:rFonts w:ascii="標楷體" w:eastAsia="標楷體" w:hAnsi="標楷體" w:cs="標楷體"/>
        </w:rPr>
      </w:pPr>
      <w:r>
        <w:rPr>
          <w:rFonts w:ascii="標楷體" w:eastAsia="標楷體" w:hAnsi="標楷體" w:cs="標楷體"/>
        </w:rPr>
        <w:t>＊預告發布日期：次年2月底。(原訂預告發布日期如遇例假日或國定假日則延至下一個工作日發布)</w:t>
      </w:r>
    </w:p>
    <w:p w:rsidR="005B00EA" w:rsidRDefault="009F45FF">
      <w:pPr>
        <w:pStyle w:val="Standard"/>
        <w:spacing w:line="0" w:lineRule="atLeast"/>
        <w:ind w:left="1920" w:hanging="1920"/>
        <w:rPr>
          <w:rFonts w:ascii="標楷體" w:eastAsia="標楷體" w:hAnsi="標楷體" w:cs="標楷體"/>
        </w:rPr>
      </w:pPr>
      <w:r>
        <w:rPr>
          <w:rFonts w:ascii="標楷體" w:eastAsia="標楷體" w:hAnsi="標楷體" w:cs="標楷體"/>
        </w:rPr>
        <w:t>＊同步發送單位：臺中市政府主計處、臺中市政府農業局</w:t>
      </w:r>
    </w:p>
    <w:p w:rsidR="005B00EA" w:rsidRDefault="005B00EA">
      <w:pPr>
        <w:pStyle w:val="Standard"/>
        <w:spacing w:line="0" w:lineRule="atLeast"/>
        <w:rPr>
          <w:rFonts w:ascii="標楷體" w:eastAsia="標楷體" w:hAnsi="標楷體" w:cs="標楷體"/>
        </w:rPr>
      </w:pPr>
    </w:p>
    <w:p w:rsidR="005B00EA" w:rsidRDefault="009F45FF">
      <w:pPr>
        <w:pStyle w:val="Standard"/>
        <w:spacing w:line="0" w:lineRule="atLeast"/>
        <w:rPr>
          <w:rFonts w:ascii="標楷體" w:eastAsia="標楷體" w:hAnsi="標楷體" w:cs="標楷體"/>
        </w:rPr>
      </w:pPr>
      <w:r>
        <w:rPr>
          <w:rFonts w:ascii="標楷體" w:eastAsia="標楷體" w:hAnsi="標楷體" w:cs="標楷體"/>
        </w:rPr>
        <w:t>五、資料品質</w:t>
      </w:r>
    </w:p>
    <w:p w:rsidR="005B00EA" w:rsidRDefault="009F45FF">
      <w:pPr>
        <w:pStyle w:val="Standard"/>
        <w:numPr>
          <w:ilvl w:val="0"/>
          <w:numId w:val="2"/>
        </w:numPr>
        <w:spacing w:line="0" w:lineRule="atLeast"/>
        <w:rPr>
          <w:rFonts w:ascii="標楷體" w:eastAsia="標楷體" w:hAnsi="標楷體" w:cs="標楷體"/>
        </w:rPr>
      </w:pPr>
      <w:r>
        <w:rPr>
          <w:rFonts w:ascii="標楷體" w:eastAsia="標楷體" w:hAnsi="標楷體" w:cs="標楷體"/>
        </w:rPr>
        <w:t>統計指標編製方法與資料來源說明：本處豬病防疫及病性鑑定組、草食動物及禽病防疫組依據農業部動植物防疫檢疫署核定畜牧場口蹄疫血清學監測件數彙編。</w:t>
      </w:r>
    </w:p>
    <w:p w:rsidR="005B00EA" w:rsidRDefault="009F45FF">
      <w:pPr>
        <w:pStyle w:val="Standard"/>
        <w:numPr>
          <w:ilvl w:val="0"/>
          <w:numId w:val="2"/>
        </w:numPr>
        <w:spacing w:line="0" w:lineRule="atLeast"/>
        <w:rPr>
          <w:rFonts w:ascii="標楷體" w:eastAsia="標楷體" w:hAnsi="標楷體" w:cs="標楷體"/>
        </w:rPr>
      </w:pPr>
      <w:r>
        <w:rPr>
          <w:rFonts w:ascii="標楷體" w:eastAsia="標楷體" w:hAnsi="標楷體" w:cs="標楷體"/>
        </w:rPr>
        <w:t>統計資料交叉查核及確保資料合理性之機制：業務單位、會計室交叉查核確保資料合理性。</w:t>
      </w:r>
    </w:p>
    <w:p w:rsidR="005B00EA" w:rsidRDefault="005B00EA">
      <w:pPr>
        <w:pStyle w:val="Standard"/>
        <w:spacing w:line="0" w:lineRule="atLeast"/>
        <w:ind w:left="360"/>
        <w:rPr>
          <w:rFonts w:ascii="標楷體" w:eastAsia="標楷體" w:hAnsi="標楷體" w:cs="標楷體"/>
        </w:rPr>
      </w:pPr>
    </w:p>
    <w:p w:rsidR="005B00EA" w:rsidRDefault="009F45FF">
      <w:pPr>
        <w:pStyle w:val="Standard"/>
        <w:spacing w:line="0" w:lineRule="atLeast"/>
      </w:pPr>
      <w:r>
        <w:rPr>
          <w:rFonts w:ascii="標楷體" w:eastAsia="標楷體" w:hAnsi="標楷體" w:cs="標楷體"/>
        </w:rPr>
        <w:t>六、須注意及預定改變之事項：表號20359-01-04-2</w:t>
      </w:r>
    </w:p>
    <w:p w:rsidR="005B00EA" w:rsidRDefault="005B00EA">
      <w:pPr>
        <w:pStyle w:val="Standard"/>
        <w:spacing w:line="0" w:lineRule="atLeast"/>
        <w:rPr>
          <w:rFonts w:ascii="標楷體" w:eastAsia="標楷體" w:hAnsi="標楷體" w:cs="標楷體"/>
          <w:lang w:eastAsia="zh-HK"/>
        </w:rPr>
      </w:pPr>
    </w:p>
    <w:p w:rsidR="005B00EA" w:rsidRDefault="009F45FF">
      <w:pPr>
        <w:pStyle w:val="Standard"/>
        <w:spacing w:line="0" w:lineRule="atLeast"/>
      </w:pPr>
      <w:r>
        <w:rPr>
          <w:rFonts w:ascii="標楷體" w:eastAsia="標楷體" w:hAnsi="標楷體" w:cs="標楷體"/>
          <w:lang w:eastAsia="zh-HK"/>
        </w:rPr>
        <w:t>七</w:t>
      </w:r>
      <w:r>
        <w:rPr>
          <w:rFonts w:ascii="標楷體" w:eastAsia="標楷體" w:hAnsi="標楷體" w:cs="標楷體"/>
        </w:rPr>
        <w:t>、</w:t>
      </w:r>
      <w:r>
        <w:rPr>
          <w:rFonts w:ascii="標楷體" w:eastAsia="標楷體" w:hAnsi="標楷體" w:cs="標楷體"/>
          <w:szCs w:val="20"/>
        </w:rPr>
        <w:t>其他事項：無</w:t>
      </w:r>
    </w:p>
    <w:p w:rsidR="005B00EA" w:rsidRDefault="005B00EA">
      <w:pPr>
        <w:pStyle w:val="Standard"/>
        <w:spacing w:line="0" w:lineRule="atLeast"/>
        <w:rPr>
          <w:rFonts w:ascii="標楷體" w:eastAsia="標楷體" w:hAnsi="標楷體" w:cs="標楷體"/>
        </w:rPr>
      </w:pPr>
    </w:p>
    <w:sectPr w:rsidR="005B00EA">
      <w:pgSz w:w="11906" w:h="16838"/>
      <w:pgMar w:top="1021" w:right="1247" w:bottom="1021" w:left="1247"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110" w:rsidRDefault="009F45FF">
      <w:r>
        <w:separator/>
      </w:r>
    </w:p>
  </w:endnote>
  <w:endnote w:type="continuationSeparator" w:id="0">
    <w:p w:rsidR="00895110" w:rsidRDefault="009F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Times New Roman"/>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AR PGothic Medium JP">
    <w:altName w:val="MS PGothic"/>
    <w:charset w:val="80"/>
    <w:family w:val="modern"/>
    <w:pitch w:val="variable"/>
    <w:sig w:usb0="00000000" w:usb1="28C76CFA" w:usb2="00000010" w:usb3="00000000" w:csb0="00020000" w:csb1="00000000"/>
  </w:font>
  <w:font w:name="AncientClock">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110" w:rsidRDefault="009F45FF">
      <w:r>
        <w:rPr>
          <w:color w:val="000000"/>
        </w:rPr>
        <w:separator/>
      </w:r>
    </w:p>
  </w:footnote>
  <w:footnote w:type="continuationSeparator" w:id="0">
    <w:p w:rsidR="00895110" w:rsidRDefault="009F45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C7E40"/>
    <w:multiLevelType w:val="multilevel"/>
    <w:tmpl w:val="6646188E"/>
    <w:styleLink w:val="WW8Num1"/>
    <w:lvl w:ilvl="0">
      <w:numFmt w:val="bullet"/>
      <w:lvlText w:val="＊"/>
      <w:lvlJc w:val="left"/>
      <w:pPr>
        <w:ind w:left="360" w:hanging="360"/>
      </w:pPr>
      <w:rPr>
        <w:rFonts w:ascii="Times New Roman" w:hAnsi="Times New Roman" w:cs="Times New Roman"/>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192730D3"/>
    <w:multiLevelType w:val="multilevel"/>
    <w:tmpl w:val="80DAB726"/>
    <w:styleLink w:val="WW8Num3"/>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 w15:restartNumberingAfterBreak="0">
    <w:nsid w:val="542B3F7C"/>
    <w:multiLevelType w:val="multilevel"/>
    <w:tmpl w:val="82B61290"/>
    <w:styleLink w:val="WW8Num2"/>
    <w:lvl w:ilvl="0">
      <w:numFmt w:val="bullet"/>
      <w:lvlText w:val="＊"/>
      <w:lvlJc w:val="left"/>
      <w:pPr>
        <w:ind w:left="360" w:hanging="360"/>
      </w:pPr>
      <w:rPr>
        <w:rFonts w:ascii="Times New Roman" w:eastAsia="標楷體" w:hAnsi="Times New Roman" w:cs="Times New Roman"/>
        <w:color w:val="00000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num w:numId="1">
    <w:abstractNumId w:val="0"/>
  </w:num>
  <w:num w:numId="2">
    <w:abstractNumId w:val="2"/>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0EA"/>
    <w:rsid w:val="00344C74"/>
    <w:rsid w:val="005B00EA"/>
    <w:rsid w:val="00895110"/>
    <w:rsid w:val="009F45FF"/>
    <w:rsid w:val="00A751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17AFC1E-86B5-480D-B803-244C4224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Lucida San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Calibri Light" w:hAnsi="Calibri Light"/>
      <w:sz w:val="18"/>
      <w:szCs w:val="18"/>
    </w:rPr>
  </w:style>
  <w:style w:type="character" w:customStyle="1" w:styleId="WW8Num1z0">
    <w:name w:val="WW8Num1z0"/>
    <w:rPr>
      <w:rFonts w:ascii="Times New Roman" w:eastAsia="Times New Roman" w:hAnsi="Times New Roman" w:cs="Times New Roman"/>
    </w:rPr>
  </w:style>
  <w:style w:type="character" w:customStyle="1" w:styleId="WW8Num2z0">
    <w:name w:val="WW8Num2z0"/>
    <w:rPr>
      <w:rFonts w:ascii="Times New Roman" w:eastAsia="標楷體" w:hAnsi="Times New Roman" w:cs="Times New Roman"/>
      <w:color w:val="000000"/>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rPr>
      <w:rFonts w:ascii="AR PGothic Medium JP" w:eastAsia="AR PGothic Medium JP" w:hAnsi="AR PGothic Medium JP" w:cs="AncientClock"/>
      <w:color w:val="00000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0">
    <w:name w:val="WW8Num4z0"/>
    <w:rPr>
      <w:rFonts w:ascii="Times New Roman" w:eastAsia="標楷體" w:hAnsi="Times New Roman" w:cs="Times New Roman"/>
    </w:rPr>
  </w:style>
  <w:style w:type="character" w:customStyle="1" w:styleId="WW8Num4z1">
    <w:name w:val="WW8Num4z1"/>
    <w:rPr>
      <w:rFonts w:ascii="Wingdings" w:eastAsia="Wingdings" w:hAnsi="Wingdings" w:cs="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eastAsia="標楷體" w:hAnsi="Times New Roman" w:cs="Times New Roman"/>
      <w:color w:val="000000"/>
    </w:rPr>
  </w:style>
  <w:style w:type="character" w:customStyle="1" w:styleId="WW8Num6z1">
    <w:name w:val="WW8Num6z1"/>
    <w:rPr>
      <w:rFonts w:ascii="Wingdings" w:eastAsia="Wingdings" w:hAnsi="Wingdings" w:cs="Wingdings"/>
    </w:rPr>
  </w:style>
  <w:style w:type="character" w:customStyle="1" w:styleId="WW8Num7z0">
    <w:name w:val="WW8Num7z0"/>
    <w:rPr>
      <w:rFonts w:ascii="Times New Roman" w:eastAsia="標楷體" w:hAnsi="Times New Roman" w:cs="Times New Roman"/>
    </w:rPr>
  </w:style>
  <w:style w:type="character" w:customStyle="1" w:styleId="WW8Num7z1">
    <w:name w:val="WW8Num7z1"/>
    <w:rPr>
      <w:rFonts w:ascii="Wingdings" w:eastAsia="Wingdings" w:hAnsi="Wingdings" w:cs="Wingdings"/>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a8">
    <w:name w:val="頁首 字元"/>
    <w:rPr>
      <w:kern w:val="3"/>
    </w:rPr>
  </w:style>
  <w:style w:type="character" w:customStyle="1" w:styleId="a9">
    <w:name w:val="頁尾 字元"/>
    <w:rPr>
      <w:kern w:val="3"/>
    </w:rPr>
  </w:style>
  <w:style w:type="character" w:customStyle="1" w:styleId="aa">
    <w:name w:val="註解方塊文字 字元"/>
    <w:rPr>
      <w:rFonts w:ascii="Calibri Light" w:eastAsia="新細明體, PMingLiU" w:hAnsi="Calibri Light" w:cs="Times New Roman"/>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596</Characters>
  <Application>Microsoft Office Word</Application>
  <DocSecurity>0</DocSecurity>
  <Lines>4</Lines>
  <Paragraphs>1</Paragraphs>
  <ScaleCrop>false</ScaleCrop>
  <Company/>
  <LinksUpToDate>false</LinksUpToDate>
  <CharactersWithSpaces>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統計資料背景說明：高雄市勞工團體及會員人數統計</dc:title>
  <dc:creator>user</dc:creator>
  <cp:lastModifiedBy>王春梅</cp:lastModifiedBy>
  <cp:revision>2</cp:revision>
  <cp:lastPrinted>2020-06-24T11:17:00Z</cp:lastPrinted>
  <dcterms:created xsi:type="dcterms:W3CDTF">2024-12-12T00:49:00Z</dcterms:created>
  <dcterms:modified xsi:type="dcterms:W3CDTF">2024-12-12T00:49:00Z</dcterms:modified>
</cp:coreProperties>
</file>