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10D2" w:rsidRDefault="00B41D68">
      <w:pPr>
        <w:pStyle w:val="Textbody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統計資料背景說明</w:t>
      </w:r>
    </w:p>
    <w:p w:rsidR="00C310D2" w:rsidRDefault="00B41D68">
      <w:pPr>
        <w:pStyle w:val="Textbody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資料種類：藝文展演活動之統計</w:t>
      </w:r>
    </w:p>
    <w:p w:rsidR="00C310D2" w:rsidRDefault="00B41D68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資料項目：臺中市文化資產處辦理藝文活動情形</w:t>
      </w:r>
    </w:p>
    <w:p w:rsidR="00C310D2" w:rsidRDefault="00B41D68">
      <w:pPr>
        <w:pStyle w:val="Textbody"/>
        <w:jc w:val="both"/>
      </w:pPr>
      <w:r>
        <w:rPr>
          <w:rFonts w:ascii="標楷體" w:eastAsia="標楷體" w:hAnsi="標楷體"/>
        </w:rPr>
        <w:t>一、發布及編製機關單位：</w:t>
      </w:r>
    </w:p>
    <w:p w:rsidR="00C310D2" w:rsidRDefault="00B41D68">
      <w:pPr>
        <w:pStyle w:val="Textbody"/>
        <w:jc w:val="both"/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發布機關、單位：臺中市文化資產處會計單位</w:t>
      </w:r>
    </w:p>
    <w:p w:rsidR="00C310D2" w:rsidRDefault="00B41D68">
      <w:pPr>
        <w:pStyle w:val="Textbody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編製單位：本處綜合規劃課</w:t>
      </w:r>
    </w:p>
    <w:p w:rsidR="00C310D2" w:rsidRDefault="00B41D68">
      <w:pPr>
        <w:pStyle w:val="Textbody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聯絡電話：</w:t>
      </w:r>
      <w:r>
        <w:rPr>
          <w:rFonts w:ascii="標楷體" w:eastAsia="標楷體" w:hAnsi="標楷體"/>
        </w:rPr>
        <w:t>(04) 22290280#212</w:t>
      </w:r>
    </w:p>
    <w:p w:rsidR="00C310D2" w:rsidRDefault="00B41D68">
      <w:pPr>
        <w:pStyle w:val="Textbody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傳真：</w:t>
      </w:r>
      <w:r>
        <w:rPr>
          <w:rFonts w:ascii="標楷體" w:eastAsia="標楷體" w:hAnsi="標楷體"/>
        </w:rPr>
        <w:t>(04) 22298553</w:t>
      </w:r>
    </w:p>
    <w:p w:rsidR="00C310D2" w:rsidRDefault="00B41D68">
      <w:pPr>
        <w:pStyle w:val="Textbody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電子信箱：</w:t>
      </w:r>
      <w:r>
        <w:rPr>
          <w:rFonts w:ascii="標楷體" w:eastAsia="標楷體" w:hAnsi="標楷體"/>
        </w:rPr>
        <w:t>katesu@taichung.gov.tw</w:t>
      </w:r>
    </w:p>
    <w:p w:rsidR="00C310D2" w:rsidRDefault="00B41D68">
      <w:pPr>
        <w:pStyle w:val="Textbody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二、發布形式：</w:t>
      </w:r>
    </w:p>
    <w:p w:rsidR="00C310D2" w:rsidRDefault="00B41D68">
      <w:pPr>
        <w:pStyle w:val="Textbody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口頭：</w:t>
      </w:r>
    </w:p>
    <w:p w:rsidR="00C310D2" w:rsidRDefault="00B41D68">
      <w:pPr>
        <w:pStyle w:val="Textbody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( )</w:t>
      </w:r>
      <w:r>
        <w:rPr>
          <w:rFonts w:ascii="標楷體" w:eastAsia="標楷體" w:hAnsi="標楷體"/>
        </w:rPr>
        <w:t>記者會或說明會</w:t>
      </w:r>
    </w:p>
    <w:p w:rsidR="00C310D2" w:rsidRDefault="00B41D68">
      <w:pPr>
        <w:pStyle w:val="Textbody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書面：</w:t>
      </w:r>
    </w:p>
    <w:p w:rsidR="00C310D2" w:rsidRDefault="00B41D68">
      <w:pPr>
        <w:pStyle w:val="Textbody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( 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新聞稿</w:t>
      </w:r>
      <w:r>
        <w:rPr>
          <w:rFonts w:ascii="標楷體" w:eastAsia="標楷體" w:hAnsi="標楷體"/>
        </w:rPr>
        <w:t xml:space="preserve">      (  )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 xml:space="preserve">    ( )</w:t>
      </w:r>
      <w:r>
        <w:rPr>
          <w:rFonts w:ascii="標楷體" w:eastAsia="標楷體" w:hAnsi="標楷體"/>
        </w:rPr>
        <w:t>書刊，刊名：</w:t>
      </w:r>
    </w:p>
    <w:p w:rsidR="00C310D2" w:rsidRDefault="00B41D68">
      <w:pPr>
        <w:pStyle w:val="Textbody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電子媒體：</w:t>
      </w:r>
    </w:p>
    <w:p w:rsidR="00C310D2" w:rsidRDefault="00B41D68">
      <w:pPr>
        <w:pStyle w:val="Textbody"/>
      </w:pPr>
      <w:r>
        <w:rPr>
          <w:rFonts w:ascii="標楷體" w:eastAsia="標楷體" w:hAnsi="標楷體"/>
        </w:rPr>
        <w:t xml:space="preserve">      ( )</w:t>
      </w:r>
      <w:r>
        <w:rPr>
          <w:rFonts w:ascii="標楷體" w:eastAsia="標楷體" w:hAnsi="標楷體"/>
        </w:rPr>
        <w:t>線上書刊及資料庫，網址：</w:t>
      </w:r>
      <w:bookmarkStart w:id="0" w:name="_Hlt430787170"/>
      <w:bookmarkStart w:id="1" w:name="_Hlt430787169"/>
      <w:r>
        <w:rPr>
          <w:rFonts w:ascii="標楷體" w:eastAsia="標楷體" w:hAnsi="標楷體"/>
        </w:rPr>
        <w:t xml:space="preserve">   </w:t>
      </w:r>
    </w:p>
    <w:bookmarkEnd w:id="0"/>
    <w:bookmarkEnd w:id="1"/>
    <w:p w:rsidR="00C310D2" w:rsidRDefault="00B41D68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( )</w:t>
      </w:r>
      <w:r>
        <w:rPr>
          <w:rFonts w:ascii="標楷體" w:eastAsia="標楷體" w:hAnsi="標楷體"/>
        </w:rPr>
        <w:t>磁片</w:t>
      </w:r>
      <w:r>
        <w:rPr>
          <w:rFonts w:ascii="標楷體" w:eastAsia="標楷體" w:hAnsi="標楷體"/>
        </w:rPr>
        <w:t xml:space="preserve">   ( )</w:t>
      </w:r>
      <w:r>
        <w:rPr>
          <w:rFonts w:ascii="標楷體" w:eastAsia="標楷體" w:hAnsi="標楷體"/>
        </w:rPr>
        <w:t>光碟片</w:t>
      </w:r>
      <w:r>
        <w:rPr>
          <w:rFonts w:ascii="標楷體" w:eastAsia="標楷體" w:hAnsi="標楷體"/>
        </w:rPr>
        <w:t xml:space="preserve">  ( v )</w:t>
      </w:r>
      <w:r>
        <w:rPr>
          <w:rFonts w:ascii="標楷體" w:eastAsia="標楷體" w:hAnsi="標楷體"/>
        </w:rPr>
        <w:t>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:rsidR="00C310D2" w:rsidRDefault="00B41D68">
      <w:pPr>
        <w:pStyle w:val="Textbody"/>
        <w:jc w:val="both"/>
      </w:pPr>
      <w:r>
        <w:rPr>
          <w:rFonts w:ascii="標楷體" w:eastAsia="標楷體" w:hAnsi="標楷體"/>
        </w:rPr>
        <w:t>三、資料範圍、週期及時效</w:t>
      </w:r>
    </w:p>
    <w:p w:rsidR="00C310D2" w:rsidRDefault="00B41D68">
      <w:pPr>
        <w:pStyle w:val="Textbody"/>
        <w:ind w:left="2880" w:hanging="2640"/>
      </w:pPr>
      <w:r>
        <w:rPr>
          <w:rFonts w:ascii="標楷體" w:eastAsia="標楷體" w:hAnsi="標楷體"/>
        </w:rPr>
        <w:t xml:space="preserve"> *</w:t>
      </w:r>
      <w:r>
        <w:rPr>
          <w:rFonts w:ascii="標楷體" w:eastAsia="標楷體" w:hAnsi="標楷體"/>
        </w:rPr>
        <w:t>統計地區範圍及對象：凡是活動地點在本市轄區內，由本處辦理，且活動內容中涉及綜合展演、文化導覽及其他藝文活動者，均為統計對象。</w:t>
      </w:r>
    </w:p>
    <w:p w:rsidR="00C310D2" w:rsidRDefault="00B41D68">
      <w:pPr>
        <w:pStyle w:val="Textbody"/>
        <w:ind w:left="2160" w:hanging="2160"/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統計標準時間：靜態統計欄位，以截至每月結束之統計資料為準；動態統計欄位，以每月第一日至該月結束之統計資料為準。</w:t>
      </w:r>
    </w:p>
    <w:p w:rsidR="00C310D2" w:rsidRDefault="00B41D68">
      <w:pPr>
        <w:pStyle w:val="Textbody"/>
        <w:spacing w:line="0" w:lineRule="atLeast"/>
        <w:ind w:right="-1774"/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統計項目定義：</w:t>
      </w:r>
    </w:p>
    <w:p w:rsidR="00C310D2" w:rsidRDefault="00B41D68">
      <w:pPr>
        <w:pStyle w:val="Textbody"/>
        <w:ind w:left="1699" w:hanging="739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（一）綜合展演：為符合以下條件者：</w:t>
      </w: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適用於一場館中，係經由同一出入口進出展演場域；</w:t>
      </w:r>
      <w:r>
        <w:rPr>
          <w:rFonts w:ascii="標楷體" w:eastAsia="標楷體" w:hAnsi="標楷體"/>
        </w:rPr>
        <w:t xml:space="preserve"> 2.</w:t>
      </w:r>
      <w:r>
        <w:rPr>
          <w:rFonts w:ascii="標楷體" w:eastAsia="標楷體" w:hAnsi="標楷體"/>
        </w:rPr>
        <w:t>該場館內含數展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場，且數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場合計亦共展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出囊括多類別之展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C310D2" w:rsidRDefault="00B41D68">
      <w:pPr>
        <w:pStyle w:val="Textbody"/>
        <w:ind w:left="1699" w:hanging="73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（二）文化導覽：藝術文化活動、交流及欣賞等相關推廣。</w:t>
      </w:r>
    </w:p>
    <w:p w:rsidR="00C310D2" w:rsidRDefault="00B41D68">
      <w:pPr>
        <w:pStyle w:val="Textbody"/>
        <w:ind w:left="1699" w:hanging="73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（三）其他：無法歸類於上述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/>
        </w:rPr>
        <w:t>)~(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類者入此。</w:t>
      </w:r>
    </w:p>
    <w:p w:rsidR="00C310D2" w:rsidRDefault="00B41D68">
      <w:pPr>
        <w:pStyle w:val="Textbody"/>
        <w:ind w:left="1699" w:hanging="73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（四）活動場次：在一連續期間或一定規律期間內，於同一場地或分散於不同據點所展出或演出之同一系列活動，不論是否收取門票之表演活動，並以演出一套戲碼或舞碼為一場次。計量單位為「場次」。</w:t>
      </w:r>
    </w:p>
    <w:p w:rsidR="00C310D2" w:rsidRDefault="00B41D68">
      <w:pPr>
        <w:pStyle w:val="Textbody"/>
        <w:ind w:left="1699" w:hanging="73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如遇跨月之活動，則皆計入跨月之各月活動場次。</w:t>
      </w:r>
    </w:p>
    <w:p w:rsidR="00C310D2" w:rsidRDefault="00B41D68">
      <w:pPr>
        <w:pStyle w:val="Textbody"/>
        <w:ind w:left="1699" w:hanging="73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（五）活動個數：在一連續期間或一定規律期間內，於同一場地或分散於不同據點所展出或演出之同一系列活動，稱為「一個活動」，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計量單位</w:t>
      </w:r>
      <w:r>
        <w:rPr>
          <w:rFonts w:ascii="標楷體" w:eastAsia="標楷體" w:hAnsi="標楷體"/>
        </w:rPr>
        <w:t>為「個」。</w:t>
      </w:r>
    </w:p>
    <w:p w:rsidR="00C310D2" w:rsidRDefault="00B41D68">
      <w:pPr>
        <w:pStyle w:val="Textbody"/>
        <w:ind w:left="1699" w:hanging="73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如遇跨月之活動，則僅於「開始當月」登載活動個數，以免重複列計。</w:t>
      </w:r>
    </w:p>
    <w:p w:rsidR="00C310D2" w:rsidRDefault="00B41D68">
      <w:pPr>
        <w:pStyle w:val="Textbody"/>
        <w:ind w:left="1699" w:hanging="73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如遇跨年份之活動，則依照年度別分別於各年度活動「開始當月」登列活動個數。</w:t>
      </w:r>
    </w:p>
    <w:p w:rsidR="00C310D2" w:rsidRDefault="00B41D68">
      <w:pPr>
        <w:pStyle w:val="Textbody"/>
        <w:ind w:left="1699" w:hanging="73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（六）出席人次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/>
        </w:rPr>
        <w:t>係指當月整個活動過程中參觀之實際人次，作為活動出席人次；綜合展演以當月入館人次統計，作為活動出席人次。</w:t>
      </w:r>
    </w:p>
    <w:p w:rsidR="00C310D2" w:rsidRDefault="00B41D68">
      <w:pPr>
        <w:pStyle w:val="Textbody"/>
        <w:ind w:left="2211" w:hanging="2154"/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統計單位：活動場次計量單位為「場次」、活動個數計量單位為「個」及出席人次計量單位為「人」。</w:t>
      </w:r>
    </w:p>
    <w:p w:rsidR="00C310D2" w:rsidRDefault="00B41D68">
      <w:pPr>
        <w:pStyle w:val="Textbody"/>
        <w:spacing w:line="0" w:lineRule="atLeast"/>
        <w:ind w:right="-177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統計分類：</w:t>
      </w:r>
    </w:p>
    <w:p w:rsidR="00C310D2" w:rsidRDefault="00B41D68">
      <w:pPr>
        <w:pStyle w:val="Textbody"/>
        <w:ind w:left="2549" w:hanging="159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（一）縱項目：按綜合展演、文化導覽及其他藝文活動區分。</w:t>
      </w:r>
    </w:p>
    <w:p w:rsidR="00C310D2" w:rsidRDefault="00B41D68">
      <w:pPr>
        <w:pStyle w:val="Textbody"/>
        <w:ind w:left="2549" w:hanging="159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（二）橫項目：就該年度按本月新增活動個數、本月活動場次暨本月所有活動出席人次，及截至本月底累計活動個數暨出席人次區分。</w:t>
      </w:r>
    </w:p>
    <w:p w:rsidR="00C310D2" w:rsidRDefault="00B41D68">
      <w:pPr>
        <w:pStyle w:val="Textbody"/>
        <w:ind w:left="2160" w:hanging="2160"/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發布週期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指資料編製或產生的頻率，如月、季、年等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：月</w:t>
      </w:r>
    </w:p>
    <w:p w:rsidR="00C310D2" w:rsidRDefault="00B41D68">
      <w:pPr>
        <w:pStyle w:val="Textbody"/>
        <w:ind w:left="2160" w:hanging="21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時效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指統計標準時間至資料發布時間之間隔時間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>15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 xml:space="preserve">   </w:t>
      </w:r>
    </w:p>
    <w:p w:rsidR="00C310D2" w:rsidRDefault="00B41D68">
      <w:pPr>
        <w:pStyle w:val="Textbody"/>
        <w:ind w:left="2160" w:hanging="18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*</w:t>
      </w:r>
      <w:r>
        <w:rPr>
          <w:rFonts w:ascii="標楷體" w:eastAsia="標楷體" w:hAnsi="標楷體"/>
        </w:rPr>
        <w:t>資料變革：無</w:t>
      </w:r>
    </w:p>
    <w:p w:rsidR="00C310D2" w:rsidRDefault="00B41D68">
      <w:pPr>
        <w:pStyle w:val="Textbody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四、公開資料發布訊息：</w:t>
      </w:r>
    </w:p>
    <w:p w:rsidR="00C310D2" w:rsidRDefault="00B41D68">
      <w:pPr>
        <w:pStyle w:val="Textbody"/>
        <w:spacing w:line="340" w:lineRule="exact"/>
        <w:ind w:right="-50" w:firstLine="360"/>
        <w:jc w:val="both"/>
      </w:pPr>
      <w:r>
        <w:rPr>
          <w:rFonts w:ascii="標楷體" w:eastAsia="標楷體" w:hAnsi="標楷體"/>
        </w:rPr>
        <w:t>*</w:t>
      </w:r>
      <w:r>
        <w:rPr>
          <w:rFonts w:ascii="標楷體" w:eastAsia="標楷體" w:hAnsi="標楷體"/>
        </w:rPr>
        <w:t>預告發布日期：每月終了</w:t>
      </w:r>
      <w:r>
        <w:rPr>
          <w:rFonts w:ascii="標楷體" w:eastAsia="標楷體" w:hAnsi="標楷體"/>
        </w:rPr>
        <w:t>15</w:t>
      </w:r>
      <w:r>
        <w:rPr>
          <w:rFonts w:ascii="標楷體" w:eastAsia="標楷體" w:hAnsi="標楷體"/>
        </w:rPr>
        <w:t>日。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原訂預告發布日期如遇例假日或國定假日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則延至下一個工作日發布</w:t>
      </w:r>
      <w:r>
        <w:rPr>
          <w:rFonts w:ascii="標楷體" w:eastAsia="標楷體" w:hAnsi="標楷體"/>
        </w:rPr>
        <w:t>)</w:t>
      </w:r>
    </w:p>
    <w:p w:rsidR="00C310D2" w:rsidRDefault="00B41D68">
      <w:pPr>
        <w:pStyle w:val="Textbody"/>
        <w:ind w:left="2160" w:hanging="2160"/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同步發送單位：臺中市政府文化局、臺中市政府主計處</w:t>
      </w:r>
    </w:p>
    <w:p w:rsidR="00C310D2" w:rsidRDefault="00B41D68">
      <w:pPr>
        <w:pStyle w:val="Textbody"/>
        <w:ind w:left="2160" w:hanging="21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五、資料品質：</w:t>
      </w:r>
    </w:p>
    <w:p w:rsidR="00C310D2" w:rsidRDefault="00B41D68">
      <w:pPr>
        <w:pStyle w:val="Textbody"/>
        <w:ind w:left="4365" w:hanging="4365"/>
        <w:jc w:val="both"/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統計指標編製方法與資料來源說明：由本處綜合規劃課依據本處各課所填報「臺中市文化資產處辦理藝文活動情形表」資料彙編。</w:t>
      </w:r>
    </w:p>
    <w:p w:rsidR="00C310D2" w:rsidRDefault="00B41D68">
      <w:pPr>
        <w:pStyle w:val="Textbody"/>
        <w:ind w:left="510" w:hanging="51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*</w:t>
      </w:r>
      <w:r>
        <w:rPr>
          <w:rFonts w:ascii="標楷體" w:eastAsia="標楷體" w:hAnsi="標楷體"/>
        </w:rPr>
        <w:t>統計資料交叉查核及確保資料合理性之機制：本處業務單位及會計單位交叉查核，確保資料合理性。</w:t>
      </w:r>
    </w:p>
    <w:p w:rsidR="00C310D2" w:rsidRDefault="00B41D68">
      <w:pPr>
        <w:pStyle w:val="Textbody"/>
        <w:ind w:left="425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六、須注意及預定改變之事項：表號</w:t>
      </w:r>
      <w:r>
        <w:rPr>
          <w:rFonts w:ascii="標楷體" w:eastAsia="標楷體" w:hAnsi="標楷體"/>
        </w:rPr>
        <w:t>11050-00-01-2</w:t>
      </w:r>
    </w:p>
    <w:p w:rsidR="00C310D2" w:rsidRDefault="00B41D68">
      <w:pPr>
        <w:pStyle w:val="Textbody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七、其他事項：無</w:t>
      </w:r>
    </w:p>
    <w:p w:rsidR="00C310D2" w:rsidRDefault="00C310D2">
      <w:pPr>
        <w:pStyle w:val="Textbody"/>
        <w:ind w:left="2160" w:hanging="2160"/>
        <w:rPr>
          <w:rFonts w:ascii="標楷體" w:eastAsia="標楷體" w:hAnsi="標楷體"/>
        </w:rPr>
      </w:pPr>
    </w:p>
    <w:sectPr w:rsidR="00C310D2">
      <w:pgSz w:w="11906" w:h="16838"/>
      <w:pgMar w:top="1440" w:right="1797" w:bottom="1440" w:left="1797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41D68">
      <w:r>
        <w:separator/>
      </w:r>
    </w:p>
  </w:endnote>
  <w:endnote w:type="continuationSeparator" w:id="0">
    <w:p w:rsidR="00000000" w:rsidRDefault="00B4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41D68">
      <w:r>
        <w:rPr>
          <w:color w:val="000000"/>
        </w:rPr>
        <w:separator/>
      </w:r>
    </w:p>
  </w:footnote>
  <w:footnote w:type="continuationSeparator" w:id="0">
    <w:p w:rsidR="00000000" w:rsidRDefault="00B41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310D2"/>
    <w:rsid w:val="00B41D68"/>
    <w:rsid w:val="00C3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9D50339-5AAA-4F46-9C52-CC690BB5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styleId="a6">
    <w:name w:val="Plain Text"/>
    <w:basedOn w:val="Textbody"/>
    <w:rPr>
      <w:rFonts w:ascii="Calibri" w:eastAsia="Calibri" w:hAnsi="Calibri" w:cs="Calibri"/>
    </w:rPr>
  </w:style>
  <w:style w:type="character" w:styleId="a7">
    <w:name w:val="Hyperlink"/>
    <w:rPr>
      <w:color w:val="0000FF"/>
      <w:u w:val="single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b">
    <w:name w:val="FollowedHyperlink"/>
    <w:rPr>
      <w:color w:val="800080"/>
      <w:u w:val="single"/>
    </w:rPr>
  </w:style>
  <w:style w:type="character" w:customStyle="1" w:styleId="ac">
    <w:name w:val="純文字 字元"/>
    <w:rPr>
      <w:rFonts w:ascii="Calibri" w:eastAsia="Calibri" w:hAnsi="Calibri" w:cs="Courier New"/>
      <w:kern w:val="3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f</dc:creator>
  <cp:lastModifiedBy>cws</cp:lastModifiedBy>
  <cp:revision>2</cp:revision>
  <cp:lastPrinted>2015-12-30T02:07:00Z</cp:lastPrinted>
  <dcterms:created xsi:type="dcterms:W3CDTF">2025-12-03T07:40:00Z</dcterms:created>
  <dcterms:modified xsi:type="dcterms:W3CDTF">2025-12-03T07:40:00Z</dcterms:modified>
</cp:coreProperties>
</file>