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6D8A" w:rsidRDefault="00B6191E">
      <w:pPr>
        <w:pStyle w:val="Standard"/>
        <w:spacing w:line="360" w:lineRule="exact"/>
        <w:jc w:val="center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/>
          <w:spacing w:val="-4"/>
          <w:sz w:val="28"/>
          <w:szCs w:val="28"/>
        </w:rPr>
        <w:t>統計資料背景說明</w:t>
      </w:r>
    </w:p>
    <w:p w:rsidR="00D96D8A" w:rsidRDefault="00B6191E">
      <w:pPr>
        <w:pStyle w:val="Standard"/>
        <w:spacing w:line="360" w:lineRule="exact"/>
      </w:pPr>
      <w:r>
        <w:rPr>
          <w:rFonts w:ascii="標楷體" w:eastAsia="標楷體" w:hAnsi="標楷體" w:cs="標楷體"/>
        </w:rPr>
        <w:t>資料種類：各機關共同性統計</w:t>
      </w:r>
    </w:p>
    <w:p w:rsidR="00D96D8A" w:rsidRDefault="00B6191E">
      <w:pPr>
        <w:pStyle w:val="Standard"/>
        <w:spacing w:line="360" w:lineRule="exact"/>
      </w:pPr>
      <w:r>
        <w:rPr>
          <w:rFonts w:ascii="標楷體" w:eastAsia="標楷體" w:hAnsi="標楷體" w:cs="標楷體"/>
        </w:rPr>
        <w:t>資料項目：</w:t>
      </w:r>
      <w:r>
        <w:rPr>
          <w:rFonts w:ascii="標楷體" w:eastAsia="標楷體" w:hAnsi="標楷體"/>
        </w:rPr>
        <w:t>臺中市政府水利局現有職員概況</w:t>
      </w:r>
    </w:p>
    <w:p w:rsidR="00D96D8A" w:rsidRDefault="00B6191E">
      <w:pPr>
        <w:pStyle w:val="Standard"/>
        <w:numPr>
          <w:ilvl w:val="0"/>
          <w:numId w:val="8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發布及編製機關單位</w:t>
      </w:r>
    </w:p>
    <w:p w:rsidR="00D96D8A" w:rsidRDefault="00B6191E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/>
          <w:spacing w:val="-4"/>
        </w:rPr>
        <w:t>＊發布機關：</w:t>
      </w:r>
      <w:r>
        <w:rPr>
          <w:rFonts w:ascii="標楷體" w:eastAsia="標楷體" w:hAnsi="標楷體"/>
        </w:rPr>
        <w:t>臺中市政府水利局會計室</w:t>
      </w:r>
    </w:p>
    <w:p w:rsidR="00D96D8A" w:rsidRDefault="00B6191E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/>
        </w:rPr>
        <w:t>＊編製單位：臺中市政府水利局人事室</w:t>
      </w:r>
    </w:p>
    <w:p w:rsidR="00D96D8A" w:rsidRDefault="00B6191E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/>
        </w:rPr>
        <w:t>＊聯絡電話：</w:t>
      </w:r>
      <w:r>
        <w:rPr>
          <w:rFonts w:ascii="標楷體" w:eastAsia="標楷體" w:hAnsi="標楷體"/>
        </w:rPr>
        <w:t>(04)2228-9111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>53942</w:t>
      </w:r>
    </w:p>
    <w:p w:rsidR="00D96D8A" w:rsidRDefault="00B6191E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/>
        </w:rPr>
        <w:t>＊</w:t>
      </w:r>
      <w:r>
        <w:rPr>
          <w:rFonts w:ascii="標楷體" w:eastAsia="標楷體" w:hAnsi="標楷體"/>
          <w:spacing w:val="-4"/>
          <w:shd w:val="clear" w:color="auto" w:fill="FFFFFF"/>
        </w:rPr>
        <w:t>單位</w:t>
      </w:r>
      <w:r>
        <w:rPr>
          <w:rFonts w:ascii="標楷體" w:eastAsia="標楷體" w:hAnsi="標楷體"/>
        </w:rPr>
        <w:t>電子信箱：</w:t>
      </w:r>
      <w:r>
        <w:rPr>
          <w:u w:val="single"/>
        </w:rPr>
        <w:t>kateebaby1114@taichung.gov.tw</w:t>
      </w:r>
    </w:p>
    <w:p w:rsidR="00D96D8A" w:rsidRDefault="00B6191E">
      <w:pPr>
        <w:pStyle w:val="Standard"/>
        <w:spacing w:line="320" w:lineRule="exact"/>
        <w:ind w:left="540" w:hanging="5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二、發布形式</w:t>
      </w:r>
    </w:p>
    <w:p w:rsidR="00D96D8A" w:rsidRDefault="00B6191E">
      <w:pPr>
        <w:pStyle w:val="Standard"/>
        <w:numPr>
          <w:ilvl w:val="0"/>
          <w:numId w:val="9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口頭：</w:t>
      </w:r>
    </w:p>
    <w:p w:rsidR="00D96D8A" w:rsidRDefault="00B6191E">
      <w:pPr>
        <w:pStyle w:val="Standard"/>
        <w:spacing w:line="320" w:lineRule="exact"/>
        <w:jc w:val="both"/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）記者會或說明會</w:t>
      </w:r>
    </w:p>
    <w:p w:rsidR="00D96D8A" w:rsidRDefault="00B6191E">
      <w:pPr>
        <w:pStyle w:val="Standard"/>
        <w:numPr>
          <w:ilvl w:val="0"/>
          <w:numId w:val="10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書面：</w:t>
      </w:r>
    </w:p>
    <w:p w:rsidR="00D96D8A" w:rsidRDefault="00B6191E">
      <w:pPr>
        <w:pStyle w:val="Standard"/>
        <w:spacing w:line="320" w:lineRule="exact"/>
        <w:ind w:left="294"/>
        <w:jc w:val="both"/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）新聞稿</w:t>
      </w:r>
      <w:r>
        <w:rPr>
          <w:rFonts w:ascii="標楷體" w:eastAsia="標楷體" w:hAnsi="標楷體"/>
        </w:rPr>
        <w:t xml:space="preserve">   </w:t>
      </w:r>
      <w:r>
        <w:rPr>
          <w:rFonts w:eastAsia="標楷體"/>
        </w:rPr>
        <w:t>（）報表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）書刊，刊名：</w:t>
      </w:r>
    </w:p>
    <w:p w:rsidR="00D96D8A" w:rsidRDefault="00B6191E">
      <w:pPr>
        <w:pStyle w:val="Standard"/>
        <w:spacing w:line="320" w:lineRule="exact"/>
        <w:ind w:left="29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＊電子媒體：</w:t>
      </w:r>
    </w:p>
    <w:p w:rsidR="00D96D8A" w:rsidRDefault="00B6191E">
      <w:pPr>
        <w:pStyle w:val="Standard"/>
        <w:spacing w:line="320" w:lineRule="exact"/>
        <w:ind w:left="966" w:right="-328" w:hanging="294"/>
        <w:jc w:val="both"/>
      </w:pPr>
      <w:r>
        <w:rPr>
          <w:rFonts w:eastAsia="標楷體"/>
        </w:rPr>
        <w:t>（）線上書刊及資料庫，網址：</w:t>
      </w:r>
    </w:p>
    <w:p w:rsidR="00D96D8A" w:rsidRDefault="00B6191E">
      <w:pPr>
        <w:pStyle w:val="Standard"/>
        <w:spacing w:line="320" w:lineRule="exact"/>
        <w:ind w:left="966" w:right="-328" w:hanging="294"/>
        <w:jc w:val="both"/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）磁片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）光碟片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Wingdings" w:eastAsia="Wingdings" w:hAnsi="Wingdings" w:cs="Wingdings"/>
        </w:rPr>
        <w:t></w:t>
      </w:r>
      <w:r>
        <w:rPr>
          <w:rFonts w:ascii="標楷體" w:eastAsia="標楷體" w:hAnsi="標楷體"/>
        </w:rPr>
        <w:t>）其他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報表</w:t>
      </w:r>
      <w:r>
        <w:rPr>
          <w:rFonts w:ascii="標楷體" w:eastAsia="標楷體" w:hAnsi="標楷體"/>
        </w:rPr>
        <w:t>)</w:t>
      </w:r>
    </w:p>
    <w:p w:rsidR="00D96D8A" w:rsidRDefault="00B6191E">
      <w:pPr>
        <w:pStyle w:val="Standard"/>
        <w:spacing w:before="240" w:line="320" w:lineRule="exac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三、資料範圍、週期及時效</w:t>
      </w:r>
    </w:p>
    <w:p w:rsidR="00D96D8A" w:rsidRDefault="00B6191E">
      <w:pPr>
        <w:pStyle w:val="Standard"/>
        <w:spacing w:line="320" w:lineRule="exact"/>
        <w:ind w:left="120" w:firstLine="120"/>
        <w:jc w:val="both"/>
      </w:pPr>
      <w:r>
        <w:rPr>
          <w:rFonts w:ascii="標楷體" w:eastAsia="標楷體" w:hAnsi="標楷體"/>
        </w:rPr>
        <w:t>＊統計地區範圍及對象：</w:t>
      </w:r>
      <w:r>
        <w:rPr>
          <w:rFonts w:ascii="標楷體" w:eastAsia="標楷體" w:hAnsi="標楷體" w:cs="標楷體"/>
          <w:szCs w:val="24"/>
        </w:rPr>
        <w:t>凡服務於本局之正式公務</w:t>
      </w:r>
      <w:r>
        <w:rPr>
          <w:rFonts w:ascii="標楷體" w:eastAsia="標楷體" w:hAnsi="標楷體" w:cs="標楷體"/>
          <w:szCs w:val="24"/>
        </w:rPr>
        <w:t>(</w:t>
      </w:r>
      <w:r>
        <w:rPr>
          <w:rFonts w:ascii="標楷體" w:eastAsia="標楷體" w:hAnsi="標楷體" w:cs="標楷體"/>
          <w:szCs w:val="24"/>
        </w:rPr>
        <w:t>教</w:t>
      </w:r>
      <w:r>
        <w:rPr>
          <w:rFonts w:ascii="標楷體" w:eastAsia="標楷體" w:hAnsi="標楷體" w:cs="標楷體"/>
          <w:szCs w:val="24"/>
        </w:rPr>
        <w:t>)</w:t>
      </w:r>
      <w:r>
        <w:rPr>
          <w:rFonts w:ascii="標楷體" w:eastAsia="標楷體" w:hAnsi="標楷體" w:cs="標楷體"/>
          <w:szCs w:val="24"/>
        </w:rPr>
        <w:t>人員，包含他機關服務於本局、之</w:t>
      </w:r>
    </w:p>
    <w:p w:rsidR="00D96D8A" w:rsidRDefault="00B6191E">
      <w:pPr>
        <w:pStyle w:val="Standard"/>
        <w:spacing w:line="320" w:lineRule="exact"/>
        <w:ind w:left="480"/>
        <w:jc w:val="both"/>
      </w:pPr>
      <w:r>
        <w:rPr>
          <w:rFonts w:ascii="標楷體" w:eastAsia="標楷體" w:hAnsi="標楷體" w:cs="標楷體"/>
          <w:szCs w:val="24"/>
        </w:rPr>
        <w:t>正式公務</w:t>
      </w:r>
      <w:r>
        <w:rPr>
          <w:rFonts w:ascii="標楷體" w:eastAsia="標楷體" w:hAnsi="標楷體" w:cs="標楷體"/>
          <w:szCs w:val="24"/>
        </w:rPr>
        <w:t>(</w:t>
      </w:r>
      <w:r>
        <w:rPr>
          <w:rFonts w:ascii="標楷體" w:eastAsia="標楷體" w:hAnsi="標楷體" w:cs="標楷體"/>
          <w:szCs w:val="24"/>
        </w:rPr>
        <w:t>教</w:t>
      </w:r>
      <w:r>
        <w:rPr>
          <w:rFonts w:ascii="標楷體" w:eastAsia="標楷體" w:hAnsi="標楷體" w:cs="標楷體"/>
          <w:szCs w:val="24"/>
        </w:rPr>
        <w:t>)</w:t>
      </w:r>
      <w:r>
        <w:rPr>
          <w:rFonts w:ascii="標楷體" w:eastAsia="標楷體" w:hAnsi="標楷體" w:cs="標楷體"/>
          <w:szCs w:val="24"/>
        </w:rPr>
        <w:t>人員</w:t>
      </w:r>
      <w:r>
        <w:rPr>
          <w:rFonts w:ascii="標楷體" w:eastAsia="標楷體" w:hAnsi="標楷體" w:cs="標楷體"/>
          <w:szCs w:val="24"/>
        </w:rPr>
        <w:t>(</w:t>
      </w:r>
      <w:r>
        <w:rPr>
          <w:rFonts w:ascii="標楷體" w:eastAsia="標楷體" w:hAnsi="標楷體" w:cs="標楷體"/>
          <w:szCs w:val="24"/>
        </w:rPr>
        <w:t>含借調入、支援本機關人員；不含留職停薪、借調出、支援外機關人員</w:t>
      </w:r>
      <w:r>
        <w:rPr>
          <w:rFonts w:ascii="標楷體" w:eastAsia="標楷體" w:hAnsi="標楷體" w:cs="標楷體"/>
          <w:szCs w:val="24"/>
        </w:rPr>
        <w:t>)</w:t>
      </w:r>
      <w:r>
        <w:rPr>
          <w:rFonts w:ascii="標楷體" w:eastAsia="標楷體" w:hAnsi="標楷體" w:cs="標楷體"/>
          <w:szCs w:val="24"/>
        </w:rPr>
        <w:t>，</w:t>
      </w:r>
      <w:r>
        <w:rPr>
          <w:rFonts w:ascii="標楷體" w:eastAsia="標楷體" w:hAnsi="標楷體"/>
        </w:rPr>
        <w:t>均為統計範圍及對象。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不含約聘僱人員、業務助理、工友、司機、臨時人員等人員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D96D8A" w:rsidRDefault="00B6191E">
      <w:pPr>
        <w:pStyle w:val="Standard"/>
        <w:spacing w:line="320" w:lineRule="exact"/>
        <w:ind w:firstLine="280"/>
        <w:jc w:val="both"/>
      </w:pPr>
      <w:r>
        <w:rPr>
          <w:rFonts w:ascii="標楷體" w:eastAsia="標楷體" w:hAnsi="標楷體"/>
        </w:rPr>
        <w:t>＊</w:t>
      </w:r>
      <w:r>
        <w:rPr>
          <w:rFonts w:ascii="標楷體" w:eastAsia="標楷體" w:hAnsi="標楷體"/>
          <w:sz w:val="16"/>
          <w:szCs w:val="16"/>
        </w:rPr>
        <w:t xml:space="preserve"> </w:t>
      </w:r>
      <w:r>
        <w:rPr>
          <w:rFonts w:ascii="標楷體" w:eastAsia="標楷體" w:hAnsi="標楷體"/>
        </w:rPr>
        <w:t>統計標準時間：以每年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31</w:t>
      </w:r>
      <w:r>
        <w:rPr>
          <w:rFonts w:ascii="標楷體" w:eastAsia="標楷體" w:hAnsi="標楷體"/>
        </w:rPr>
        <w:t>日現任職員之事實為準。</w:t>
      </w:r>
    </w:p>
    <w:p w:rsidR="00D96D8A" w:rsidRDefault="00B6191E">
      <w:pPr>
        <w:pStyle w:val="Standard"/>
        <w:numPr>
          <w:ilvl w:val="0"/>
          <w:numId w:val="5"/>
        </w:numPr>
        <w:spacing w:line="320" w:lineRule="exact"/>
        <w:jc w:val="both"/>
      </w:pPr>
      <w:r>
        <w:rPr>
          <w:rFonts w:ascii="標楷體" w:eastAsia="標楷體" w:hAnsi="標楷體"/>
        </w:rPr>
        <w:t>統計項目定義：年齡以戶籍登記所記載之出生年、月、日為準並以足歲計算。</w:t>
      </w:r>
    </w:p>
    <w:p w:rsidR="00D96D8A" w:rsidRDefault="00B6191E">
      <w:pPr>
        <w:pStyle w:val="Standard"/>
        <w:spacing w:line="320" w:lineRule="exact"/>
        <w:ind w:firstLine="283"/>
        <w:jc w:val="both"/>
      </w:pPr>
      <w:r>
        <w:rPr>
          <w:rFonts w:ascii="標楷體" w:eastAsia="標楷體" w:hAnsi="標楷體"/>
        </w:rPr>
        <w:t>＊統計單位：人。</w:t>
      </w:r>
    </w:p>
    <w:p w:rsidR="00D96D8A" w:rsidRDefault="00B6191E">
      <w:pPr>
        <w:pStyle w:val="Standard"/>
        <w:numPr>
          <w:ilvl w:val="0"/>
          <w:numId w:val="5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統計分類：</w:t>
      </w:r>
    </w:p>
    <w:p w:rsidR="00D96D8A" w:rsidRDefault="00B6191E">
      <w:pPr>
        <w:pStyle w:val="Standard"/>
        <w:numPr>
          <w:ilvl w:val="0"/>
          <w:numId w:val="11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橫列以學歷別及年齡別為分類標準。</w:t>
      </w:r>
    </w:p>
    <w:p w:rsidR="00D96D8A" w:rsidRDefault="00B6191E">
      <w:pPr>
        <w:pStyle w:val="Standard"/>
        <w:numPr>
          <w:ilvl w:val="0"/>
          <w:numId w:val="12"/>
        </w:numPr>
        <w:spacing w:line="320" w:lineRule="exact"/>
        <w:ind w:hanging="99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學歷別：分博士、碩士、大學、專科、高中職、國中以下及其他。</w:t>
      </w:r>
    </w:p>
    <w:p w:rsidR="00D96D8A" w:rsidRDefault="00B6191E">
      <w:pPr>
        <w:pStyle w:val="Standard"/>
        <w:numPr>
          <w:ilvl w:val="0"/>
          <w:numId w:val="1"/>
        </w:numPr>
        <w:spacing w:line="320" w:lineRule="exact"/>
        <w:ind w:hanging="99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年齡別：以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歲為一級距，如「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－</w:t>
      </w:r>
      <w:r>
        <w:rPr>
          <w:rFonts w:ascii="標楷體" w:eastAsia="標楷體" w:hAnsi="標楷體"/>
        </w:rPr>
        <w:t>34</w:t>
      </w:r>
      <w:r>
        <w:rPr>
          <w:rFonts w:ascii="標楷體" w:eastAsia="標楷體" w:hAnsi="標楷體"/>
        </w:rPr>
        <w:t>歲」表示已滿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歲，未滿</w:t>
      </w:r>
      <w:r>
        <w:rPr>
          <w:rFonts w:ascii="標楷體" w:eastAsia="標楷體" w:hAnsi="標楷體"/>
        </w:rPr>
        <w:t>35</w:t>
      </w:r>
      <w:r>
        <w:rPr>
          <w:rFonts w:ascii="標楷體" w:eastAsia="標楷體" w:hAnsi="標楷體"/>
        </w:rPr>
        <w:t>歲。</w:t>
      </w:r>
    </w:p>
    <w:p w:rsidR="00D96D8A" w:rsidRDefault="00B6191E">
      <w:pPr>
        <w:pStyle w:val="Standard"/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縱行以官等及性別為分類標準。</w:t>
      </w:r>
    </w:p>
    <w:p w:rsidR="00D96D8A" w:rsidRDefault="00B6191E">
      <w:pPr>
        <w:pStyle w:val="Standard"/>
        <w:spacing w:line="320" w:lineRule="exact"/>
        <w:ind w:left="2160" w:hanging="960"/>
        <w:jc w:val="both"/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/>
        </w:rPr>
        <w:t>官等：依政務人員、簡薦委任、雇員、教師、醫事人員、警察人員分；簡薦委任再按簡任、薦任、委任分；警察人員再分為警監、警正及警佐。並再細分男、女性別。</w:t>
      </w:r>
    </w:p>
    <w:p w:rsidR="00D96D8A" w:rsidRDefault="00B6191E">
      <w:pPr>
        <w:pStyle w:val="Standard"/>
        <w:numPr>
          <w:ilvl w:val="0"/>
          <w:numId w:val="5"/>
        </w:numPr>
        <w:spacing w:line="320" w:lineRule="exact"/>
        <w:jc w:val="both"/>
      </w:pPr>
      <w:r>
        <w:rPr>
          <w:rFonts w:ascii="標楷體" w:eastAsia="標楷體" w:hAnsi="標楷體"/>
        </w:rPr>
        <w:t>發布週期：年。</w:t>
      </w:r>
    </w:p>
    <w:p w:rsidR="00D96D8A" w:rsidRDefault="00B6191E">
      <w:pPr>
        <w:pStyle w:val="Standard"/>
        <w:spacing w:line="320" w:lineRule="exact"/>
        <w:ind w:firstLine="280"/>
        <w:jc w:val="both"/>
      </w:pPr>
      <w:r>
        <w:rPr>
          <w:rFonts w:ascii="標楷體" w:eastAsia="標楷體" w:hAnsi="標楷體"/>
        </w:rPr>
        <w:t>＊</w:t>
      </w:r>
      <w:r>
        <w:rPr>
          <w:rFonts w:ascii="標楷體" w:eastAsia="標楷體" w:hAnsi="標楷體"/>
          <w:sz w:val="16"/>
          <w:szCs w:val="16"/>
        </w:rPr>
        <w:t xml:space="preserve"> </w:t>
      </w:r>
      <w:r>
        <w:rPr>
          <w:rFonts w:ascii="標楷體" w:eastAsia="標楷體" w:hAnsi="標楷體"/>
        </w:rPr>
        <w:t>時效：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個月。</w:t>
      </w:r>
    </w:p>
    <w:p w:rsidR="00D96D8A" w:rsidRDefault="00B6191E">
      <w:pPr>
        <w:pStyle w:val="Standard"/>
        <w:numPr>
          <w:ilvl w:val="0"/>
          <w:numId w:val="5"/>
        </w:numPr>
        <w:spacing w:line="320" w:lineRule="exact"/>
        <w:jc w:val="both"/>
      </w:pPr>
      <w:r>
        <w:rPr>
          <w:rFonts w:ascii="標楷體" w:eastAsia="標楷體" w:hAnsi="標楷體"/>
        </w:rPr>
        <w:t>資料變革：無。</w:t>
      </w:r>
    </w:p>
    <w:p w:rsidR="00D96D8A" w:rsidRDefault="00B6191E">
      <w:pPr>
        <w:pStyle w:val="Standard"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四、公開資料發布訊息</w:t>
      </w:r>
    </w:p>
    <w:p w:rsidR="00D96D8A" w:rsidRDefault="00B6191E">
      <w:pPr>
        <w:pStyle w:val="Standard"/>
        <w:spacing w:line="320" w:lineRule="exact"/>
        <w:ind w:left="560" w:hanging="308"/>
        <w:jc w:val="both"/>
      </w:pPr>
      <w:r>
        <w:rPr>
          <w:rFonts w:ascii="標楷體" w:eastAsia="標楷體" w:hAnsi="標楷體"/>
        </w:rPr>
        <w:t>＊預告發布日期：次年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月底</w:t>
      </w:r>
      <w:r>
        <w:rPr>
          <w:rFonts w:ascii="標楷體" w:eastAsia="標楷體" w:hAnsi="標楷體"/>
          <w:shd w:val="clear" w:color="auto" w:fill="FFFFFF"/>
        </w:rPr>
        <w:t>(</w:t>
      </w:r>
      <w:r>
        <w:rPr>
          <w:rFonts w:ascii="標楷體" w:eastAsia="標楷體" w:hAnsi="標楷體"/>
          <w:shd w:val="clear" w:color="auto" w:fill="FFFFFF"/>
        </w:rPr>
        <w:t>原訂預告發布日期如遇例假日或國定</w:t>
      </w:r>
      <w:r>
        <w:rPr>
          <w:rFonts w:ascii="標楷體" w:eastAsia="標楷體" w:hAnsi="標楷體"/>
          <w:shd w:val="clear" w:color="auto" w:fill="FFFFFF"/>
        </w:rPr>
        <w:t>假日則延至下一個工作日發布</w:t>
      </w:r>
      <w:r>
        <w:rPr>
          <w:rFonts w:ascii="標楷體" w:eastAsia="標楷體" w:hAnsi="標楷體"/>
          <w:shd w:val="clear" w:color="auto" w:fill="FFFFFF"/>
        </w:rPr>
        <w:t>)</w:t>
      </w:r>
      <w:r>
        <w:rPr>
          <w:rFonts w:ascii="標楷體" w:eastAsia="標楷體" w:hAnsi="標楷體"/>
          <w:shd w:val="clear" w:color="auto" w:fill="FFFFFF"/>
        </w:rPr>
        <w:t>。</w:t>
      </w:r>
    </w:p>
    <w:p w:rsidR="00D96D8A" w:rsidRDefault="00B6191E">
      <w:pPr>
        <w:pStyle w:val="Standard"/>
        <w:spacing w:line="320" w:lineRule="exact"/>
        <w:ind w:left="560" w:hanging="308"/>
        <w:jc w:val="both"/>
      </w:pPr>
      <w:r>
        <w:rPr>
          <w:rFonts w:ascii="標楷體" w:eastAsia="標楷體" w:hAnsi="標楷體"/>
        </w:rPr>
        <w:t>＊同步發送單位：</w:t>
      </w:r>
      <w:r>
        <w:rPr>
          <w:rFonts w:eastAsia="標楷體"/>
        </w:rPr>
        <w:t>臺中市政府主計處。</w:t>
      </w:r>
    </w:p>
    <w:p w:rsidR="00D96D8A" w:rsidRDefault="00B6191E">
      <w:pPr>
        <w:pStyle w:val="Standard"/>
        <w:spacing w:before="240" w:line="320" w:lineRule="exac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五、資料品質</w:t>
      </w:r>
    </w:p>
    <w:p w:rsidR="00D96D8A" w:rsidRDefault="00B6191E">
      <w:pPr>
        <w:pStyle w:val="Standard"/>
        <w:tabs>
          <w:tab w:val="left" w:pos="9000"/>
        </w:tabs>
        <w:spacing w:line="320" w:lineRule="exact"/>
        <w:ind w:left="480" w:hanging="240"/>
        <w:jc w:val="both"/>
      </w:pPr>
      <w:r>
        <w:rPr>
          <w:rFonts w:ascii="標楷體" w:eastAsia="標楷體" w:hAnsi="標楷體"/>
        </w:rPr>
        <w:t>＊統計指標編製方法與資料來源說明：本局人事室依據「人力資源管理資訊系統」相關資料彙編。</w:t>
      </w:r>
    </w:p>
    <w:p w:rsidR="00D96D8A" w:rsidRDefault="00B6191E">
      <w:pPr>
        <w:pStyle w:val="Standard"/>
        <w:tabs>
          <w:tab w:val="left" w:pos="9509"/>
        </w:tabs>
        <w:spacing w:line="320" w:lineRule="exact"/>
        <w:ind w:left="989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＊統計資料交叉查核及確保資料合理性之機制：業務單位、會計室交叉查核確保資料合理</w:t>
      </w:r>
      <w:r>
        <w:rPr>
          <w:rFonts w:ascii="標楷體" w:eastAsia="標楷體" w:hAnsi="標楷體"/>
        </w:rPr>
        <w:lastRenderedPageBreak/>
        <w:t>性。</w:t>
      </w:r>
    </w:p>
    <w:p w:rsidR="00D96D8A" w:rsidRDefault="00B6191E">
      <w:pPr>
        <w:pStyle w:val="Standard"/>
        <w:tabs>
          <w:tab w:val="left" w:pos="8520"/>
        </w:tabs>
        <w:spacing w:line="320" w:lineRule="exact"/>
        <w:jc w:val="both"/>
      </w:pPr>
      <w:r>
        <w:rPr>
          <w:rFonts w:ascii="標楷體" w:eastAsia="標楷體" w:hAnsi="標楷體"/>
        </w:rPr>
        <w:t>六、須注意及預定改變之事項：表號</w:t>
      </w:r>
      <w:r>
        <w:rPr>
          <w:rFonts w:ascii="標楷體" w:eastAsia="標楷體" w:hAnsi="標楷體"/>
        </w:rPr>
        <w:t>30910-01-09-2</w:t>
      </w:r>
      <w:r>
        <w:rPr>
          <w:rFonts w:ascii="標楷體" w:eastAsia="標楷體" w:hAnsi="標楷體"/>
        </w:rPr>
        <w:t>。</w:t>
      </w:r>
    </w:p>
    <w:p w:rsidR="00D96D8A" w:rsidRDefault="00B6191E">
      <w:pPr>
        <w:pStyle w:val="Standard"/>
        <w:tabs>
          <w:tab w:val="left" w:pos="8520"/>
        </w:tabs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七、其他事項：無。</w:t>
      </w:r>
    </w:p>
    <w:p w:rsidR="00D96D8A" w:rsidRDefault="00D96D8A">
      <w:pPr>
        <w:pStyle w:val="Standard"/>
        <w:tabs>
          <w:tab w:val="left" w:pos="8520"/>
        </w:tabs>
        <w:spacing w:line="320" w:lineRule="exact"/>
        <w:jc w:val="both"/>
        <w:rPr>
          <w:rFonts w:ascii="標楷體" w:eastAsia="標楷體" w:hAnsi="標楷體" w:cs="標楷體"/>
        </w:rPr>
      </w:pPr>
    </w:p>
    <w:sectPr w:rsidR="00D96D8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B6191E">
      <w:pPr>
        <w:rPr>
          <w:rFonts w:hint="eastAsia"/>
        </w:rPr>
      </w:pPr>
      <w:r>
        <w:separator/>
      </w:r>
    </w:p>
  </w:endnote>
  <w:endnote w:type="continuationSeparator" w:id="0">
    <w:p w:rsidR="00000000" w:rsidRDefault="00B619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思源黑體 TW">
    <w:altName w:val="Calibri"/>
    <w:charset w:val="00"/>
    <w:family w:val="swiss"/>
    <w:pitch w:val="variable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B6191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B6191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0DDD"/>
    <w:multiLevelType w:val="multilevel"/>
    <w:tmpl w:val="1326F39E"/>
    <w:styleLink w:val="WW8Num1"/>
    <w:lvl w:ilvl="0">
      <w:start w:val="1"/>
      <w:numFmt w:val="decimal"/>
      <w:lvlText w:val="%1."/>
      <w:lvlJc w:val="left"/>
      <w:pPr>
        <w:ind w:left="1659" w:hanging="360"/>
      </w:pPr>
    </w:lvl>
    <w:lvl w:ilvl="1">
      <w:start w:val="1"/>
      <w:numFmt w:val="ideographTraditional"/>
      <w:lvlText w:val="%2、"/>
      <w:lvlJc w:val="left"/>
      <w:pPr>
        <w:ind w:left="2259" w:hanging="480"/>
      </w:pPr>
    </w:lvl>
    <w:lvl w:ilvl="2">
      <w:start w:val="1"/>
      <w:numFmt w:val="lowerRoman"/>
      <w:lvlText w:val="%3."/>
      <w:lvlJc w:val="right"/>
      <w:pPr>
        <w:ind w:left="2739" w:hanging="480"/>
      </w:pPr>
    </w:lvl>
    <w:lvl w:ilvl="3">
      <w:start w:val="1"/>
      <w:numFmt w:val="decimal"/>
      <w:lvlText w:val="%4."/>
      <w:lvlJc w:val="left"/>
      <w:pPr>
        <w:ind w:left="3219" w:hanging="480"/>
      </w:pPr>
    </w:lvl>
    <w:lvl w:ilvl="4">
      <w:start w:val="1"/>
      <w:numFmt w:val="ideographTraditional"/>
      <w:lvlText w:val="%5、"/>
      <w:lvlJc w:val="left"/>
      <w:pPr>
        <w:ind w:left="3699" w:hanging="480"/>
      </w:pPr>
    </w:lvl>
    <w:lvl w:ilvl="5">
      <w:start w:val="1"/>
      <w:numFmt w:val="lowerRoman"/>
      <w:lvlText w:val="%6."/>
      <w:lvlJc w:val="right"/>
      <w:pPr>
        <w:ind w:left="4179" w:hanging="480"/>
      </w:pPr>
    </w:lvl>
    <w:lvl w:ilvl="6">
      <w:start w:val="1"/>
      <w:numFmt w:val="decimal"/>
      <w:lvlText w:val="%7."/>
      <w:lvlJc w:val="left"/>
      <w:pPr>
        <w:ind w:left="4659" w:hanging="480"/>
      </w:pPr>
    </w:lvl>
    <w:lvl w:ilvl="7">
      <w:start w:val="1"/>
      <w:numFmt w:val="ideographTraditional"/>
      <w:lvlText w:val="%8、"/>
      <w:lvlJc w:val="left"/>
      <w:pPr>
        <w:ind w:left="5139" w:hanging="480"/>
      </w:pPr>
    </w:lvl>
    <w:lvl w:ilvl="8">
      <w:start w:val="1"/>
      <w:numFmt w:val="lowerRoman"/>
      <w:lvlText w:val="%9."/>
      <w:lvlJc w:val="right"/>
      <w:pPr>
        <w:ind w:left="5619" w:hanging="480"/>
      </w:pPr>
    </w:lvl>
  </w:abstractNum>
  <w:abstractNum w:abstractNumId="1" w15:restartNumberingAfterBreak="0">
    <w:nsid w:val="1F3F5926"/>
    <w:multiLevelType w:val="multilevel"/>
    <w:tmpl w:val="96B6500E"/>
    <w:styleLink w:val="WW8Num7"/>
    <w:lvl w:ilvl="0">
      <w:start w:val="1"/>
      <w:numFmt w:val="japaneseCounting"/>
      <w:lvlText w:val="(%1)"/>
      <w:lvlJc w:val="left"/>
      <w:pPr>
        <w:ind w:left="1080" w:hanging="48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25F314F1"/>
    <w:multiLevelType w:val="multilevel"/>
    <w:tmpl w:val="14185688"/>
    <w:styleLink w:val="WW8Num6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A9A6F12"/>
    <w:multiLevelType w:val="multilevel"/>
    <w:tmpl w:val="CC88F5BA"/>
    <w:styleLink w:val="WW8Num2"/>
    <w:lvl w:ilvl="0">
      <w:start w:val="1"/>
      <w:numFmt w:val="japaneseCounting"/>
      <w:lvlText w:val="(%1)"/>
      <w:lvlJc w:val="left"/>
      <w:pPr>
        <w:ind w:left="1179" w:hanging="480"/>
      </w:pPr>
    </w:lvl>
    <w:lvl w:ilvl="1">
      <w:start w:val="1"/>
      <w:numFmt w:val="ideographTraditional"/>
      <w:lvlText w:val="%2、"/>
      <w:lvlJc w:val="left"/>
      <w:pPr>
        <w:ind w:left="1659" w:hanging="480"/>
      </w:pPr>
    </w:lvl>
    <w:lvl w:ilvl="2">
      <w:start w:val="1"/>
      <w:numFmt w:val="lowerRoman"/>
      <w:lvlText w:val="%3."/>
      <w:lvlJc w:val="right"/>
      <w:pPr>
        <w:ind w:left="2139" w:hanging="480"/>
      </w:pPr>
    </w:lvl>
    <w:lvl w:ilvl="3">
      <w:start w:val="1"/>
      <w:numFmt w:val="decimal"/>
      <w:lvlText w:val="%4."/>
      <w:lvlJc w:val="left"/>
      <w:pPr>
        <w:ind w:left="2619" w:hanging="480"/>
      </w:pPr>
    </w:lvl>
    <w:lvl w:ilvl="4">
      <w:start w:val="1"/>
      <w:numFmt w:val="ideographTraditional"/>
      <w:lvlText w:val="%5、"/>
      <w:lvlJc w:val="left"/>
      <w:pPr>
        <w:ind w:left="3099" w:hanging="480"/>
      </w:pPr>
    </w:lvl>
    <w:lvl w:ilvl="5">
      <w:start w:val="1"/>
      <w:numFmt w:val="lowerRoman"/>
      <w:lvlText w:val="%6."/>
      <w:lvlJc w:val="right"/>
      <w:pPr>
        <w:ind w:left="3579" w:hanging="480"/>
      </w:pPr>
    </w:lvl>
    <w:lvl w:ilvl="6">
      <w:start w:val="1"/>
      <w:numFmt w:val="decimal"/>
      <w:lvlText w:val="%7."/>
      <w:lvlJc w:val="left"/>
      <w:pPr>
        <w:ind w:left="4059" w:hanging="480"/>
      </w:pPr>
    </w:lvl>
    <w:lvl w:ilvl="7">
      <w:start w:val="1"/>
      <w:numFmt w:val="ideographTraditional"/>
      <w:lvlText w:val="%8、"/>
      <w:lvlJc w:val="left"/>
      <w:pPr>
        <w:ind w:left="4539" w:hanging="480"/>
      </w:pPr>
    </w:lvl>
    <w:lvl w:ilvl="8">
      <w:start w:val="1"/>
      <w:numFmt w:val="lowerRoman"/>
      <w:lvlText w:val="%9."/>
      <w:lvlJc w:val="right"/>
      <w:pPr>
        <w:ind w:left="5019" w:hanging="480"/>
      </w:pPr>
    </w:lvl>
  </w:abstractNum>
  <w:abstractNum w:abstractNumId="4" w15:restartNumberingAfterBreak="0">
    <w:nsid w:val="514A5076"/>
    <w:multiLevelType w:val="multilevel"/>
    <w:tmpl w:val="19BCC804"/>
    <w:styleLink w:val="WW8Num4"/>
    <w:lvl w:ilvl="0">
      <w:start w:val="1"/>
      <w:numFmt w:val="decimal"/>
      <w:lvlText w:val="(%1)"/>
      <w:lvlJc w:val="left"/>
      <w:pPr>
        <w:ind w:left="2800" w:hanging="360"/>
      </w:pPr>
    </w:lvl>
    <w:lvl w:ilvl="1">
      <w:start w:val="1"/>
      <w:numFmt w:val="ideographTraditional"/>
      <w:lvlText w:val="%2、"/>
      <w:lvlJc w:val="left"/>
      <w:pPr>
        <w:ind w:left="3400" w:hanging="480"/>
      </w:pPr>
    </w:lvl>
    <w:lvl w:ilvl="2">
      <w:start w:val="1"/>
      <w:numFmt w:val="lowerRoman"/>
      <w:lvlText w:val="%3."/>
      <w:lvlJc w:val="right"/>
      <w:pPr>
        <w:ind w:left="3880" w:hanging="480"/>
      </w:pPr>
    </w:lvl>
    <w:lvl w:ilvl="3">
      <w:start w:val="1"/>
      <w:numFmt w:val="decimal"/>
      <w:lvlText w:val="%4."/>
      <w:lvlJc w:val="left"/>
      <w:pPr>
        <w:ind w:left="4360" w:hanging="480"/>
      </w:pPr>
    </w:lvl>
    <w:lvl w:ilvl="4">
      <w:start w:val="1"/>
      <w:numFmt w:val="ideographTraditional"/>
      <w:lvlText w:val="%5、"/>
      <w:lvlJc w:val="left"/>
      <w:pPr>
        <w:ind w:left="4840" w:hanging="480"/>
      </w:pPr>
    </w:lvl>
    <w:lvl w:ilvl="5">
      <w:start w:val="1"/>
      <w:numFmt w:val="lowerRoman"/>
      <w:lvlText w:val="%6."/>
      <w:lvlJc w:val="right"/>
      <w:pPr>
        <w:ind w:left="5320" w:hanging="480"/>
      </w:pPr>
    </w:lvl>
    <w:lvl w:ilvl="6">
      <w:start w:val="1"/>
      <w:numFmt w:val="decimal"/>
      <w:lvlText w:val="%7."/>
      <w:lvlJc w:val="left"/>
      <w:pPr>
        <w:ind w:left="5800" w:hanging="480"/>
      </w:pPr>
    </w:lvl>
    <w:lvl w:ilvl="7">
      <w:start w:val="1"/>
      <w:numFmt w:val="ideographTraditional"/>
      <w:lvlText w:val="%8、"/>
      <w:lvlJc w:val="left"/>
      <w:pPr>
        <w:ind w:left="6280" w:hanging="480"/>
      </w:pPr>
    </w:lvl>
    <w:lvl w:ilvl="8">
      <w:start w:val="1"/>
      <w:numFmt w:val="lowerRoman"/>
      <w:lvlText w:val="%9."/>
      <w:lvlJc w:val="right"/>
      <w:pPr>
        <w:ind w:left="6760" w:hanging="480"/>
      </w:pPr>
    </w:lvl>
  </w:abstractNum>
  <w:abstractNum w:abstractNumId="5" w15:restartNumberingAfterBreak="0">
    <w:nsid w:val="58684A35"/>
    <w:multiLevelType w:val="multilevel"/>
    <w:tmpl w:val="16AACCC2"/>
    <w:styleLink w:val="WW8Num3"/>
    <w:lvl w:ilvl="0">
      <w:start w:val="1"/>
      <w:numFmt w:val="japaneseCounting"/>
      <w:lvlText w:val="%1、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0EE2939"/>
    <w:multiLevelType w:val="multilevel"/>
    <w:tmpl w:val="3D16DAD4"/>
    <w:styleLink w:val="WW8Num5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19394442">
    <w:abstractNumId w:val="0"/>
  </w:num>
  <w:num w:numId="2" w16cid:durableId="1265071941">
    <w:abstractNumId w:val="3"/>
  </w:num>
  <w:num w:numId="3" w16cid:durableId="1919361337">
    <w:abstractNumId w:val="5"/>
  </w:num>
  <w:num w:numId="4" w16cid:durableId="1898928893">
    <w:abstractNumId w:val="4"/>
  </w:num>
  <w:num w:numId="5" w16cid:durableId="940071852">
    <w:abstractNumId w:val="6"/>
  </w:num>
  <w:num w:numId="6" w16cid:durableId="2009013950">
    <w:abstractNumId w:val="2"/>
  </w:num>
  <w:num w:numId="7" w16cid:durableId="1414742532">
    <w:abstractNumId w:val="1"/>
  </w:num>
  <w:num w:numId="8" w16cid:durableId="14312040">
    <w:abstractNumId w:val="5"/>
    <w:lvlOverride w:ilvl="0">
      <w:startOverride w:val="1"/>
    </w:lvlOverride>
  </w:num>
  <w:num w:numId="9" w16cid:durableId="885027868">
    <w:abstractNumId w:val="2"/>
    <w:lvlOverride w:ilvl="0"/>
  </w:num>
  <w:num w:numId="10" w16cid:durableId="139542899">
    <w:abstractNumId w:val="6"/>
    <w:lvlOverride w:ilvl="0"/>
  </w:num>
  <w:num w:numId="11" w16cid:durableId="1709866137">
    <w:abstractNumId w:val="3"/>
    <w:lvlOverride w:ilvl="0">
      <w:startOverride w:val="1"/>
    </w:lvlOverride>
  </w:num>
  <w:num w:numId="12" w16cid:durableId="205442800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96D8A"/>
    <w:rsid w:val="00B6191E"/>
    <w:rsid w:val="00D9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BC1A1D4-1A50-4F00-8A90-CCBE3BB7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思源黑體 TW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思源黑體 TW"/>
    </w:rPr>
  </w:style>
  <w:style w:type="paragraph" w:styleId="a4">
    <w:name w:val="caption"/>
    <w:basedOn w:val="Standard"/>
    <w:pPr>
      <w:suppressLineNumbers/>
      <w:spacing w:before="120" w:after="120"/>
    </w:pPr>
    <w:rPr>
      <w:rFonts w:cs="思源黑體 TW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思源黑體 TW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Times New Roman"/>
    </w:rPr>
  </w:style>
  <w:style w:type="character" w:customStyle="1" w:styleId="WW8Num6z0">
    <w:name w:val="WW8Num6z0"/>
    <w:rPr>
      <w:rFonts w:ascii="標楷體" w:eastAsia="標楷體" w:hAnsi="標楷體"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</dc:title>
  <dc:subject/>
  <dc:creator>高雄市政府</dc:creator>
  <cp:lastModifiedBy>cws</cp:lastModifiedBy>
  <cp:revision>2</cp:revision>
  <dcterms:created xsi:type="dcterms:W3CDTF">2025-04-29T07:40:00Z</dcterms:created>
  <dcterms:modified xsi:type="dcterms:W3CDTF">2025-04-29T07:40:00Z</dcterms:modified>
</cp:coreProperties>
</file>