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2C0" w:rsidRDefault="00B74B2E">
      <w:pPr>
        <w:widowControl/>
        <w:overflowPunct w:val="0"/>
        <w:autoSpaceDE w:val="0"/>
        <w:spacing w:line="400" w:lineRule="exact"/>
        <w:jc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統計資料背景說明</w:t>
      </w:r>
    </w:p>
    <w:p w:rsidR="005E72C0" w:rsidRDefault="00B74B2E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資料種類：其他行政統計</w:t>
      </w:r>
    </w:p>
    <w:p w:rsidR="005E72C0" w:rsidRDefault="00B74B2E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資料項目：臺中市政府訴願案件收辦情形</w:t>
      </w:r>
    </w:p>
    <w:p w:rsidR="005E72C0" w:rsidRDefault="00B74B2E">
      <w:pPr>
        <w:widowControl/>
        <w:overflowPunct w:val="0"/>
        <w:autoSpaceDE w:val="0"/>
        <w:spacing w:line="400" w:lineRule="exact"/>
        <w:ind w:firstLine="2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一、發布及編製機關單位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＊發布機關、單位：臺中市政府法制局會計室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＊編製單位：臺中市政府法制局行政救濟科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＊聯絡電話：</w:t>
      </w:r>
      <w:r>
        <w:rPr>
          <w:rFonts w:ascii="標楷體" w:eastAsia="標楷體" w:hAnsi="標楷體"/>
          <w:color w:val="000000"/>
          <w:kern w:val="0"/>
        </w:rPr>
        <w:t>(04)22289111#23402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＊傳真：</w:t>
      </w:r>
      <w:r>
        <w:rPr>
          <w:rFonts w:ascii="標楷體" w:eastAsia="標楷體" w:hAnsi="標楷體"/>
          <w:color w:val="000000"/>
          <w:kern w:val="0"/>
        </w:rPr>
        <w:t>(04)22544215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＊電子信箱：</w:t>
      </w:r>
      <w:r>
        <w:rPr>
          <w:rFonts w:ascii="標楷體" w:eastAsia="標楷體" w:hAnsi="標楷體"/>
          <w:color w:val="000000"/>
          <w:kern w:val="0"/>
        </w:rPr>
        <w:t>naidan@taichung.gov.tw</w:t>
      </w:r>
    </w:p>
    <w:p w:rsidR="005E72C0" w:rsidRDefault="00B74B2E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二、發布形式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＊口頭：</w:t>
      </w:r>
    </w:p>
    <w:p w:rsidR="005E72C0" w:rsidRDefault="00B74B2E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）記者會或說明會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＊書面：</w:t>
      </w:r>
    </w:p>
    <w:p w:rsidR="005E72C0" w:rsidRDefault="00B74B2E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）新聞稿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）報表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）書刊，刊名：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＊電子媒體：</w:t>
      </w:r>
    </w:p>
    <w:p w:rsidR="005E72C0" w:rsidRDefault="00B74B2E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）線上書刊及資料庫，網址：</w:t>
      </w:r>
    </w:p>
    <w:p w:rsidR="005E72C0" w:rsidRDefault="00B74B2E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）磁片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）光碟片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>V</w:t>
      </w:r>
      <w:r>
        <w:rPr>
          <w:rFonts w:ascii="標楷體" w:eastAsia="標楷體" w:hAnsi="標楷體"/>
          <w:color w:val="000000"/>
        </w:rPr>
        <w:t>）其他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報表</w:t>
      </w:r>
      <w:r>
        <w:rPr>
          <w:rFonts w:ascii="標楷體" w:eastAsia="標楷體" w:hAnsi="標楷體"/>
          <w:color w:val="000000"/>
        </w:rPr>
        <w:t>)</w:t>
      </w:r>
    </w:p>
    <w:p w:rsidR="005E72C0" w:rsidRDefault="00B74B2E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三、資料範圍、週期及時效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＊統計地區範圍及對象：</w:t>
      </w:r>
      <w:r>
        <w:rPr>
          <w:rFonts w:ascii="標楷體" w:eastAsia="標楷體" w:hAnsi="標楷體"/>
          <w:color w:val="000000"/>
        </w:rPr>
        <w:t>以本府收辦訴願案件為統計基準範圍及對象。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＊統計標準時間：</w:t>
      </w:r>
      <w:r>
        <w:rPr>
          <w:rFonts w:ascii="標楷體" w:eastAsia="標楷體" w:hAnsi="標楷體"/>
          <w:color w:val="000000"/>
        </w:rPr>
        <w:t>以每年之事實為準。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＊統計項目定義：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（一）上年未結：上年以前收案，截至上年底決定書仍未作成決定之案件數。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（二）本年收案：當年內訴願案件收案件數，以本局收文日為準。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（三）本年已結案：當年內訴願案件結案件數，以訴願會作成決定日為準。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firstLine="25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1.</w:t>
      </w:r>
      <w:r>
        <w:rPr>
          <w:rFonts w:ascii="標楷體" w:eastAsia="標楷體" w:hAnsi="標楷體"/>
          <w:color w:val="000000"/>
          <w:kern w:val="0"/>
        </w:rPr>
        <w:t>不受理：訴願決定為訴願不受理。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firstLine="25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2.</w:t>
      </w:r>
      <w:r>
        <w:rPr>
          <w:rFonts w:ascii="標楷體" w:eastAsia="標楷體" w:hAnsi="標楷體"/>
          <w:color w:val="000000"/>
          <w:kern w:val="0"/>
        </w:rPr>
        <w:t>駁回：訴願決定為訴願駁回。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firstLine="25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3.</w:t>
      </w:r>
      <w:r>
        <w:rPr>
          <w:rFonts w:ascii="標楷體" w:eastAsia="標楷體" w:hAnsi="標楷體"/>
          <w:color w:val="000000"/>
          <w:kern w:val="0"/>
        </w:rPr>
        <w:t>撤銷：</w:t>
      </w:r>
    </w:p>
    <w:p w:rsidR="005E72C0" w:rsidRDefault="00B74B2E">
      <w:pPr>
        <w:widowControl/>
        <w:overflowPunct w:val="0"/>
        <w:autoSpaceDE w:val="0"/>
        <w:spacing w:line="400" w:lineRule="exact"/>
        <w:ind w:left="850" w:firstLine="143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(1)</w:t>
      </w:r>
      <w:r>
        <w:rPr>
          <w:rFonts w:ascii="標楷體" w:eastAsia="標楷體" w:hAnsi="標楷體"/>
          <w:color w:val="000000"/>
          <w:kern w:val="0"/>
        </w:rPr>
        <w:t>單撤：訴願決定撤銷原行政處分。</w:t>
      </w:r>
    </w:p>
    <w:p w:rsidR="005E72C0" w:rsidRDefault="00B74B2E">
      <w:pPr>
        <w:widowControl/>
        <w:overflowPunct w:val="0"/>
        <w:autoSpaceDE w:val="0"/>
        <w:spacing w:line="400" w:lineRule="exact"/>
        <w:ind w:left="850" w:firstLine="143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(2)</w:t>
      </w:r>
      <w:r>
        <w:rPr>
          <w:rFonts w:ascii="標楷體" w:eastAsia="標楷體" w:hAnsi="標楷體"/>
          <w:color w:val="000000"/>
          <w:kern w:val="0"/>
        </w:rPr>
        <w:t>另處：訴願決定撤銷原行政處分並發回原行政處分機關另為處分。</w:t>
      </w:r>
    </w:p>
    <w:p w:rsidR="005E72C0" w:rsidRDefault="00B74B2E">
      <w:pPr>
        <w:widowControl/>
        <w:overflowPunct w:val="0"/>
        <w:autoSpaceDE w:val="0"/>
        <w:spacing w:line="400" w:lineRule="exact"/>
        <w:ind w:left="850" w:firstLine="143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(3)</w:t>
      </w:r>
      <w:r>
        <w:rPr>
          <w:rFonts w:ascii="標楷體" w:eastAsia="標楷體" w:hAnsi="標楷體"/>
          <w:color w:val="000000"/>
          <w:kern w:val="0"/>
        </w:rPr>
        <w:t>速為處分：訴願決定原行政處分機關應於一定期限內作成處分。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firstLine="25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4.</w:t>
      </w:r>
      <w:r>
        <w:rPr>
          <w:rFonts w:ascii="標楷體" w:eastAsia="標楷體" w:hAnsi="標楷體"/>
          <w:color w:val="000000"/>
          <w:kern w:val="0"/>
        </w:rPr>
        <w:t>撤回：訴願人提起訴願後，於決定書送達前撤回訴願。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firstLine="25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5.</w:t>
      </w:r>
      <w:r>
        <w:rPr>
          <w:rFonts w:ascii="標楷體" w:eastAsia="標楷體" w:hAnsi="標楷體"/>
          <w:color w:val="000000"/>
          <w:kern w:val="0"/>
        </w:rPr>
        <w:t>移轉：非屬本府管轄訴願案件而移由其他主管機關處理。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（四）本年未結案：截至當年底決定書未經訴願會作成決定之案件數。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＊統計單位：件。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＊統計分類：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lastRenderedPageBreak/>
        <w:t>(</w:t>
      </w:r>
      <w:r>
        <w:rPr>
          <w:rFonts w:ascii="標楷體" w:eastAsia="標楷體" w:hAnsi="標楷體"/>
          <w:color w:val="000000"/>
          <w:kern w:val="0"/>
        </w:rPr>
        <w:t>一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縱行項目按本府訴願案件受理情形與處理情形分類，受理情形分為上年未結、本年收案；處理情形之本年已結案分為不受理、駁回、撤銷、撤回、移轉。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二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橫列項目按案件性質分。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＊發布週期：年。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＊時效（指統計標準時間至資料發布時間之間隔時間）：</w:t>
      </w:r>
      <w:r>
        <w:rPr>
          <w:rFonts w:ascii="標楷體" w:eastAsia="標楷體" w:hAnsi="標楷體"/>
          <w:color w:val="000000"/>
          <w:kern w:val="0"/>
        </w:rPr>
        <w:t>2</w:t>
      </w:r>
      <w:r>
        <w:rPr>
          <w:rFonts w:ascii="標楷體" w:eastAsia="標楷體" w:hAnsi="標楷體"/>
          <w:color w:val="000000"/>
          <w:kern w:val="0"/>
        </w:rPr>
        <w:t>個月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＊資料變革：無</w:t>
      </w:r>
    </w:p>
    <w:p w:rsidR="005E72C0" w:rsidRDefault="00B74B2E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四、公開資料發布訊息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＊預告發布日期：</w:t>
      </w:r>
      <w:r>
        <w:rPr>
          <w:rFonts w:ascii="標楷體" w:eastAsia="標楷體" w:hAnsi="標楷體" w:cs="新細明體"/>
          <w:color w:val="000000"/>
        </w:rPr>
        <w:t>次年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月底</w:t>
      </w:r>
      <w:r>
        <w:rPr>
          <w:rFonts w:ascii="標楷體" w:eastAsia="標楷體" w:hAnsi="標楷體" w:cs="新細明體"/>
          <w:color w:val="000000"/>
        </w:rPr>
        <w:t>(</w:t>
      </w:r>
      <w:r>
        <w:rPr>
          <w:rFonts w:ascii="標楷體" w:eastAsia="標楷體" w:hAnsi="標楷體" w:cs="新細明體"/>
          <w:color w:val="000000"/>
        </w:rPr>
        <w:t>原訂預告發布日期如遇例假日或國定假日則延至下一個工作日發布</w:t>
      </w:r>
      <w:r>
        <w:rPr>
          <w:rFonts w:ascii="標楷體" w:eastAsia="標楷體" w:hAnsi="標楷體" w:cs="新細明體"/>
          <w:color w:val="000000"/>
        </w:rPr>
        <w:t>)</w:t>
      </w:r>
      <w:r>
        <w:rPr>
          <w:rFonts w:ascii="標楷體" w:eastAsia="標楷體" w:hAnsi="標楷體" w:cs="新細明體"/>
          <w:color w:val="000000"/>
        </w:rPr>
        <w:t>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＊同步發送單位：臺中市政府主計處</w:t>
      </w:r>
    </w:p>
    <w:p w:rsidR="005E72C0" w:rsidRDefault="00B74B2E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五、資料品質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＊統計指標編製方法與資料來源說明：</w:t>
      </w:r>
      <w:r>
        <w:rPr>
          <w:rFonts w:ascii="標楷體" w:eastAsia="標楷體" w:hAnsi="標楷體"/>
          <w:color w:val="000000"/>
        </w:rPr>
        <w:t>由本局行政救濟科依訴願管理作業系統資料編製。</w:t>
      </w:r>
    </w:p>
    <w:p w:rsidR="005E72C0" w:rsidRDefault="00B74B2E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</w:t>
      </w:r>
      <w:r>
        <w:rPr>
          <w:rFonts w:ascii="標楷體" w:eastAsia="標楷體" w:hAnsi="標楷體"/>
          <w:color w:val="000000"/>
          <w:kern w:val="0"/>
        </w:rPr>
        <w:t>資料交叉查核及確保資料合理性之機制：以檢誤條件查核資料，以確保資料合理性。</w:t>
      </w:r>
    </w:p>
    <w:p w:rsidR="005E72C0" w:rsidRDefault="00B74B2E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六、須注意及預定改變之事項：表號</w:t>
      </w:r>
      <w:r>
        <w:rPr>
          <w:rFonts w:ascii="標楷體" w:eastAsia="標楷體" w:hAnsi="標楷體"/>
          <w:color w:val="000000"/>
        </w:rPr>
        <w:t>30291-90-01-2</w:t>
      </w:r>
    </w:p>
    <w:p w:rsidR="005E72C0" w:rsidRDefault="00B74B2E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七、其他事項：無</w:t>
      </w:r>
    </w:p>
    <w:p w:rsidR="005E72C0" w:rsidRDefault="005E72C0"/>
    <w:sectPr w:rsidR="005E72C0">
      <w:pgSz w:w="11906" w:h="16838"/>
      <w:pgMar w:top="1440" w:right="1558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74B2E">
      <w:r>
        <w:separator/>
      </w:r>
    </w:p>
  </w:endnote>
  <w:endnote w:type="continuationSeparator" w:id="0">
    <w:p w:rsidR="00000000" w:rsidRDefault="00B7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74B2E">
      <w:r>
        <w:rPr>
          <w:color w:val="000000"/>
        </w:rPr>
        <w:separator/>
      </w:r>
    </w:p>
  </w:footnote>
  <w:footnote w:type="continuationSeparator" w:id="0">
    <w:p w:rsidR="00000000" w:rsidRDefault="00B7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72C0"/>
    <w:rsid w:val="005E72C0"/>
    <w:rsid w:val="00B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74279E2-C1BE-475F-A071-8FDB491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4B2E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4B2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王秀茹</dc:creator>
  <dc:description/>
  <cp:lastModifiedBy>cws</cp:lastModifiedBy>
  <cp:revision>2</cp:revision>
  <dcterms:created xsi:type="dcterms:W3CDTF">2024-12-06T02:10:00Z</dcterms:created>
  <dcterms:modified xsi:type="dcterms:W3CDTF">2024-12-06T02:10:00Z</dcterms:modified>
</cp:coreProperties>
</file>