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86" w:rsidRDefault="00C1713F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統計資料背景說明</w:t>
      </w:r>
    </w:p>
    <w:p w:rsidR="00A07286" w:rsidRDefault="00C1713F">
      <w:pPr>
        <w:rPr>
          <w:rFonts w:eastAsia="標楷體"/>
        </w:rPr>
      </w:pPr>
      <w:r>
        <w:rPr>
          <w:rFonts w:eastAsia="標楷體"/>
        </w:rPr>
        <w:t>資料種類：漁業統計</w:t>
      </w:r>
    </w:p>
    <w:p w:rsidR="00A07286" w:rsidRDefault="00C1713F">
      <w:r>
        <w:rPr>
          <w:rFonts w:eastAsia="標楷體"/>
        </w:rPr>
        <w:t>資料項目：臺中市龍井</w:t>
      </w:r>
      <w:r>
        <w:rPr>
          <w:rFonts w:ascii="標楷體" w:eastAsia="標楷體" w:hAnsi="標楷體"/>
          <w:szCs w:val="24"/>
        </w:rPr>
        <w:t>區</w:t>
      </w:r>
      <w:r>
        <w:rPr>
          <w:rFonts w:eastAsia="標楷體"/>
        </w:rPr>
        <w:t>漁戶數及漁戶人口數</w:t>
      </w:r>
    </w:p>
    <w:p w:rsidR="00A07286" w:rsidRDefault="00C1713F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發布及編製機關單位</w:t>
      </w:r>
    </w:p>
    <w:p w:rsidR="00A07286" w:rsidRDefault="00C1713F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＊發布機關、單位：臺中市龍井區公所會計室</w:t>
      </w:r>
    </w:p>
    <w:p w:rsidR="00A07286" w:rsidRDefault="00C1713F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＊編製單位：臺中市龍井區公所農業課</w:t>
      </w:r>
      <w:r>
        <w:rPr>
          <w:rFonts w:eastAsia="標楷體"/>
        </w:rPr>
        <w:t xml:space="preserve"> </w:t>
      </w:r>
      <w:r>
        <w:rPr>
          <w:rFonts w:eastAsia="標楷體"/>
        </w:rPr>
        <w:t>阮銘哲</w:t>
      </w:r>
    </w:p>
    <w:p w:rsidR="00A07286" w:rsidRDefault="00C1713F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＊聯絡電話：</w:t>
      </w:r>
      <w:r>
        <w:rPr>
          <w:rFonts w:eastAsia="標楷體"/>
        </w:rPr>
        <w:t>04-26352411#1142</w:t>
      </w:r>
    </w:p>
    <w:p w:rsidR="00A07286" w:rsidRDefault="00C1713F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＊傳真：</w:t>
      </w:r>
      <w:r>
        <w:rPr>
          <w:rFonts w:eastAsia="標楷體"/>
        </w:rPr>
        <w:t>04-26354222</w:t>
      </w:r>
    </w:p>
    <w:p w:rsidR="00A07286" w:rsidRDefault="00C1713F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＊電子信箱：</w:t>
      </w:r>
      <w:r>
        <w:rPr>
          <w:rFonts w:eastAsia="標楷體"/>
        </w:rPr>
        <w:t>r208@taichung.gov.tw.</w:t>
      </w:r>
    </w:p>
    <w:p w:rsidR="00A07286" w:rsidRDefault="00C1713F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發布形式</w:t>
      </w:r>
    </w:p>
    <w:p w:rsidR="00A07286" w:rsidRDefault="00C1713F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口頭：</w:t>
      </w:r>
    </w:p>
    <w:p w:rsidR="00A07286" w:rsidRDefault="00C1713F">
      <w:pPr>
        <w:spacing w:line="0" w:lineRule="atLeast"/>
        <w:ind w:firstLine="1495"/>
        <w:rPr>
          <w:rFonts w:eastAsia="標楷體"/>
        </w:rPr>
      </w:pPr>
      <w:r>
        <w:rPr>
          <w:rFonts w:eastAsia="標楷體"/>
        </w:rPr>
        <w:t>（）記者會或說明會</w:t>
      </w:r>
    </w:p>
    <w:p w:rsidR="00A07286" w:rsidRDefault="00C1713F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書面：</w:t>
      </w:r>
    </w:p>
    <w:p w:rsidR="00A07286" w:rsidRDefault="00C1713F">
      <w:pPr>
        <w:spacing w:line="0" w:lineRule="atLeast"/>
        <w:ind w:firstLine="1495"/>
      </w:pPr>
      <w:r>
        <w:rPr>
          <w:rFonts w:eastAsia="標楷體"/>
        </w:rPr>
        <w:t>（）新聞稿</w:t>
      </w:r>
      <w:r>
        <w:rPr>
          <w:rFonts w:eastAsia="標楷體"/>
        </w:rPr>
        <w:t xml:space="preserve"> </w:t>
      </w: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V</w:t>
      </w:r>
      <w:r>
        <w:rPr>
          <w:rFonts w:eastAsia="標楷體"/>
          <w:color w:val="000000"/>
        </w:rPr>
        <w:t>）報表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（）書刊，刊名：</w:t>
      </w:r>
      <w:r>
        <w:rPr>
          <w:rFonts w:eastAsia="標楷體"/>
          <w:color w:val="000000"/>
        </w:rPr>
        <w:t xml:space="preserve"> </w:t>
      </w:r>
    </w:p>
    <w:p w:rsidR="00A07286" w:rsidRDefault="00C1713F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電子媒體：</w:t>
      </w:r>
    </w:p>
    <w:p w:rsidR="00A07286" w:rsidRDefault="00C1713F">
      <w:pPr>
        <w:spacing w:line="0" w:lineRule="atLeast"/>
        <w:ind w:firstLine="1495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/>
          <w:color w:val="000000"/>
        </w:rPr>
        <w:t>v</w:t>
      </w:r>
      <w:r>
        <w:rPr>
          <w:rFonts w:eastAsia="標楷體"/>
          <w:color w:val="000000"/>
        </w:rPr>
        <w:t>）線上書刊及資料庫，網址：</w:t>
      </w:r>
    </w:p>
    <w:p w:rsidR="00A07286" w:rsidRDefault="00C1713F">
      <w:pPr>
        <w:spacing w:line="0" w:lineRule="atLeast"/>
        <w:ind w:left="1493"/>
        <w:rPr>
          <w:rFonts w:eastAsia="標楷體"/>
          <w:color w:val="000000"/>
        </w:rPr>
      </w:pPr>
      <w:r>
        <w:rPr>
          <w:rFonts w:eastAsia="標楷體"/>
          <w:color w:val="000000"/>
        </w:rPr>
        <w:t>http://govstat.taichung.gov.tw/TCSTAT/Page/kcg01_2.aspx?Mid1=387740000A</w:t>
      </w:r>
    </w:p>
    <w:p w:rsidR="00A07286" w:rsidRDefault="00C1713F">
      <w:pPr>
        <w:spacing w:line="0" w:lineRule="atLeast"/>
        <w:ind w:firstLine="1495"/>
        <w:rPr>
          <w:rFonts w:eastAsia="標楷體"/>
          <w:color w:val="000000"/>
        </w:rPr>
      </w:pPr>
      <w:r>
        <w:rPr>
          <w:rFonts w:eastAsia="標楷體"/>
          <w:color w:val="000000"/>
        </w:rPr>
        <w:t>（）磁片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（）光碟片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（）其他</w:t>
      </w:r>
    </w:p>
    <w:p w:rsidR="00A07286" w:rsidRDefault="00C1713F">
      <w:pPr>
        <w:numPr>
          <w:ilvl w:val="0"/>
          <w:numId w:val="1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資料範圍、週期及時效</w:t>
      </w:r>
    </w:p>
    <w:p w:rsidR="00A07286" w:rsidRDefault="00C1713F">
      <w:pPr>
        <w:numPr>
          <w:ilvl w:val="1"/>
          <w:numId w:val="1"/>
        </w:numPr>
        <w:tabs>
          <w:tab w:val="left" w:pos="960"/>
        </w:tabs>
        <w:spacing w:line="0" w:lineRule="atLeast"/>
        <w:ind w:left="3374" w:hanging="2892"/>
      </w:pPr>
      <w:r>
        <w:rPr>
          <w:rFonts w:eastAsia="標楷體"/>
          <w:color w:val="000000"/>
        </w:rPr>
        <w:t>統計地區範圍及對象：</w:t>
      </w:r>
      <w:r>
        <w:rPr>
          <w:rFonts w:ascii="標楷體" w:eastAsia="標楷體" w:hAnsi="標楷體"/>
          <w:color w:val="000000"/>
          <w:szCs w:val="24"/>
        </w:rPr>
        <w:t>本調查以本區戶籍所在地之漁戶及漁戶人口數為準，以區為單位。</w:t>
      </w:r>
    </w:p>
    <w:p w:rsidR="00A07286" w:rsidRDefault="00C1713F">
      <w:pPr>
        <w:numPr>
          <w:ilvl w:val="1"/>
          <w:numId w:val="1"/>
        </w:numPr>
        <w:spacing w:line="0" w:lineRule="atLeast"/>
      </w:pPr>
      <w:r>
        <w:rPr>
          <w:rFonts w:eastAsia="標楷體"/>
          <w:color w:val="000000"/>
        </w:rPr>
        <w:t>統計標準時間：</w:t>
      </w:r>
      <w:r>
        <w:rPr>
          <w:rFonts w:ascii="標楷體" w:eastAsia="標楷體" w:hAnsi="標楷體"/>
          <w:color w:val="000000"/>
          <w:szCs w:val="24"/>
        </w:rPr>
        <w:t>以每年</w:t>
      </w:r>
      <w:r>
        <w:rPr>
          <w:rFonts w:ascii="標楷體" w:eastAsia="標楷體" w:hAnsi="標楷體"/>
          <w:color w:val="000000"/>
          <w:szCs w:val="24"/>
        </w:rPr>
        <w:t>12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31</w:t>
      </w:r>
      <w:r>
        <w:rPr>
          <w:rFonts w:ascii="標楷體" w:eastAsia="標楷體" w:hAnsi="標楷體"/>
          <w:color w:val="000000"/>
          <w:szCs w:val="24"/>
        </w:rPr>
        <w:t>日之事實為準</w:t>
      </w:r>
      <w:r>
        <w:rPr>
          <w:rFonts w:eastAsia="標楷體"/>
          <w:color w:val="000000"/>
        </w:rPr>
        <w:t>。</w:t>
      </w:r>
    </w:p>
    <w:p w:rsidR="00A07286" w:rsidRDefault="00C1713F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統計項目定義：</w:t>
      </w:r>
    </w:p>
    <w:p w:rsidR="00A07286" w:rsidRDefault="00C1713F">
      <w:pPr>
        <w:spacing w:line="0" w:lineRule="atLeast"/>
        <w:ind w:left="2280" w:hanging="14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漁戶數：不論漁業經營者（僅投資漁業而未負實際經營責任者除外）或被僱從事漁業者（限被僱直接從事漁撈或養殖工作者），凡其漁業收入達該戶總收入二分之一以上者為漁戶，以戶籍登記者為準，漁戶中有兼營二種以上之漁業者，應以其收入最高之一種為準。</w:t>
      </w:r>
    </w:p>
    <w:p w:rsidR="00A07286" w:rsidRDefault="00C1713F">
      <w:pPr>
        <w:spacing w:line="0" w:lineRule="atLeast"/>
        <w:ind w:left="2880" w:hanging="28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　</w:t>
      </w: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000000"/>
          <w:szCs w:val="24"/>
        </w:rPr>
        <w:t>（二）漁戶人口數：凡漁戶內之人口均視為漁戶人口數，如遠洋漁戶內之人口，均列入遠洋漁戶人口計算。因就學或服役等關係，暫時遷出之人口，仍視為漁戶內人口；惟戶內如有共同居住，但未負共同生活義務之寄籍人口，則應予剔除。</w:t>
      </w:r>
    </w:p>
    <w:p w:rsidR="00A07286" w:rsidRDefault="00C1713F">
      <w:pPr>
        <w:spacing w:line="0" w:lineRule="atLeast"/>
        <w:ind w:left="1560" w:hanging="15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　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 xml:space="preserve">　（三）戶內如有共同居住，但未負共同生活義務之寄藉人口，如傭人，則應予除外。</w:t>
      </w:r>
      <w:r>
        <w:rPr>
          <w:rFonts w:ascii="標楷體" w:eastAsia="標楷體" w:hAnsi="標楷體"/>
          <w:color w:val="000000"/>
          <w:szCs w:val="24"/>
        </w:rPr>
        <w:tab/>
      </w:r>
      <w:r>
        <w:rPr>
          <w:rFonts w:ascii="標楷體" w:eastAsia="標楷體" w:hAnsi="標楷體"/>
          <w:color w:val="000000"/>
          <w:szCs w:val="24"/>
        </w:rPr>
        <w:tab/>
      </w:r>
      <w:r>
        <w:rPr>
          <w:rFonts w:ascii="標楷體" w:eastAsia="標楷體" w:hAnsi="標楷體"/>
          <w:color w:val="000000"/>
          <w:szCs w:val="24"/>
        </w:rPr>
        <w:tab/>
      </w:r>
      <w:r>
        <w:rPr>
          <w:rFonts w:ascii="標楷體" w:eastAsia="標楷體" w:hAnsi="標楷體"/>
          <w:color w:val="000000"/>
          <w:szCs w:val="24"/>
        </w:rPr>
        <w:tab/>
      </w:r>
      <w:r>
        <w:rPr>
          <w:rFonts w:ascii="標楷體" w:eastAsia="標楷體" w:hAnsi="標楷體"/>
          <w:color w:val="000000"/>
          <w:szCs w:val="24"/>
        </w:rPr>
        <w:tab/>
      </w:r>
      <w:r>
        <w:rPr>
          <w:rFonts w:ascii="標楷體" w:eastAsia="標楷體" w:hAnsi="標楷體"/>
          <w:color w:val="000000"/>
          <w:szCs w:val="24"/>
        </w:rPr>
        <w:tab/>
      </w:r>
      <w:r>
        <w:rPr>
          <w:rFonts w:ascii="標楷體" w:eastAsia="標楷體" w:hAnsi="標楷體"/>
          <w:color w:val="000000"/>
          <w:szCs w:val="24"/>
        </w:rPr>
        <w:tab/>
      </w:r>
    </w:p>
    <w:p w:rsidR="00A07286" w:rsidRDefault="00C1713F">
      <w:pPr>
        <w:spacing w:line="0" w:lineRule="atLeast"/>
        <w:ind w:left="482" w:firstLine="360"/>
      </w:pPr>
      <w:r>
        <w:rPr>
          <w:rFonts w:ascii="標楷體" w:eastAsia="標楷體" w:hAnsi="標楷體"/>
          <w:color w:val="000000"/>
          <w:szCs w:val="24"/>
        </w:rPr>
        <w:t>（四）因就學或服役等關係暫時遷出之人口，仍應視為其漁戶內之人口。</w:t>
      </w:r>
    </w:p>
    <w:p w:rsidR="00A07286" w:rsidRDefault="00C1713F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統計單位：戶數：戶。</w:t>
      </w:r>
    </w:p>
    <w:p w:rsidR="00A07286" w:rsidRDefault="00C1713F">
      <w:pPr>
        <w:numPr>
          <w:ilvl w:val="1"/>
          <w:numId w:val="1"/>
        </w:numPr>
        <w:tabs>
          <w:tab w:val="left" w:pos="960"/>
        </w:tabs>
        <w:spacing w:line="0" w:lineRule="atLeast"/>
        <w:ind w:left="2183" w:hanging="1701"/>
      </w:pPr>
      <w:r>
        <w:rPr>
          <w:rFonts w:eastAsia="標楷體"/>
          <w:color w:val="000000"/>
        </w:rPr>
        <w:t>統計分類：</w:t>
      </w:r>
      <w:r>
        <w:rPr>
          <w:rFonts w:ascii="標楷體" w:eastAsia="標楷體" w:hAnsi="標楷體"/>
          <w:color w:val="000000"/>
          <w:szCs w:val="24"/>
        </w:rPr>
        <w:t>分漁戶數與漁戶人口數均分遠洋、近海、沿岸、海面養殖、內陸漁撈、內陸養殖等六類加以統計。</w:t>
      </w:r>
    </w:p>
    <w:p w:rsidR="00A07286" w:rsidRDefault="00C1713F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發布週期：年。</w:t>
      </w:r>
    </w:p>
    <w:p w:rsidR="00A07286" w:rsidRDefault="00C1713F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eastAsia="標楷體"/>
          <w:color w:val="000000"/>
        </w:rPr>
        <w:t>時效：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個</w:t>
      </w:r>
      <w:r>
        <w:rPr>
          <w:rFonts w:eastAsia="標楷體"/>
          <w:color w:val="000000"/>
        </w:rPr>
        <w:t>月。</w:t>
      </w:r>
    </w:p>
    <w:p w:rsidR="00A07286" w:rsidRDefault="00C1713F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資料變革：無。</w:t>
      </w:r>
    </w:p>
    <w:p w:rsidR="00A07286" w:rsidRDefault="00C1713F">
      <w:pPr>
        <w:numPr>
          <w:ilvl w:val="0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公開資料發布訊息</w:t>
      </w:r>
    </w:p>
    <w:p w:rsidR="00A07286" w:rsidRDefault="00C1713F">
      <w:pPr>
        <w:numPr>
          <w:ilvl w:val="1"/>
          <w:numId w:val="1"/>
        </w:numPr>
        <w:tabs>
          <w:tab w:val="left" w:pos="960"/>
        </w:tabs>
        <w:ind w:left="2618" w:hanging="2138"/>
      </w:pPr>
      <w:r>
        <w:rPr>
          <w:rFonts w:eastAsia="標楷體"/>
          <w:color w:val="000000"/>
        </w:rPr>
        <w:t>預告發布日期：每年終了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個月。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原訂預告發布日期如遇例假日或國定假日則延至下一個工作日發布</w:t>
      </w:r>
      <w:r>
        <w:rPr>
          <w:rFonts w:eastAsia="標楷體"/>
          <w:color w:val="000000"/>
          <w:szCs w:val="24"/>
        </w:rPr>
        <w:t>)</w:t>
      </w:r>
    </w:p>
    <w:p w:rsidR="00A07286" w:rsidRDefault="00C1713F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同步發送單位：臺中市政府主計處。</w:t>
      </w:r>
    </w:p>
    <w:p w:rsidR="00A07286" w:rsidRDefault="00C1713F">
      <w:pPr>
        <w:numPr>
          <w:ilvl w:val="0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資料品質</w:t>
      </w:r>
    </w:p>
    <w:p w:rsidR="00A07286" w:rsidRDefault="00C1713F">
      <w:pPr>
        <w:numPr>
          <w:ilvl w:val="1"/>
          <w:numId w:val="1"/>
        </w:numPr>
        <w:spacing w:line="0" w:lineRule="atLeast"/>
      </w:pPr>
      <w:r>
        <w:rPr>
          <w:rFonts w:eastAsia="標楷體"/>
          <w:color w:val="000000"/>
        </w:rPr>
        <w:t>統計指標編製方法與資料來源說明：</w:t>
      </w:r>
      <w:r>
        <w:rPr>
          <w:rFonts w:ascii="標楷體" w:eastAsia="標楷體" w:hAnsi="標楷體"/>
          <w:color w:val="000000"/>
          <w:szCs w:val="24"/>
        </w:rPr>
        <w:t>本所農業課依據養殖漁業管理系統資料彙編。</w:t>
      </w:r>
    </w:p>
    <w:p w:rsidR="00A07286" w:rsidRDefault="00C1713F">
      <w:pPr>
        <w:numPr>
          <w:ilvl w:val="1"/>
          <w:numId w:val="1"/>
        </w:numPr>
        <w:tabs>
          <w:tab w:val="left" w:pos="960"/>
        </w:tabs>
        <w:spacing w:line="0" w:lineRule="atLeast"/>
        <w:ind w:left="5755" w:hanging="5273"/>
        <w:rPr>
          <w:rFonts w:eastAsia="標楷體"/>
          <w:color w:val="000000"/>
        </w:rPr>
      </w:pPr>
      <w:r>
        <w:rPr>
          <w:rFonts w:eastAsia="標楷體"/>
          <w:color w:val="000000"/>
        </w:rPr>
        <w:t>統計資料交叉查核及確保資料合理性之機制：由電腦系統自動進行加總交叉查核。</w:t>
      </w:r>
    </w:p>
    <w:p w:rsidR="00A07286" w:rsidRDefault="00C1713F">
      <w:pPr>
        <w:numPr>
          <w:ilvl w:val="0"/>
          <w:numId w:val="1"/>
        </w:numPr>
        <w:spacing w:line="0" w:lineRule="atLeast"/>
      </w:pPr>
      <w:r>
        <w:rPr>
          <w:rFonts w:eastAsia="標楷體"/>
          <w:color w:val="000000"/>
        </w:rPr>
        <w:t>須注意及預定改變之事項：表號</w:t>
      </w:r>
      <w:r>
        <w:rPr>
          <w:rFonts w:eastAsia="標楷體"/>
          <w:color w:val="000000"/>
        </w:rPr>
        <w:t>20343-01-02-3</w:t>
      </w:r>
      <w:r>
        <w:rPr>
          <w:rFonts w:eastAsia="標楷體"/>
          <w:color w:val="000000"/>
        </w:rPr>
        <w:t>。</w:t>
      </w:r>
    </w:p>
    <w:p w:rsidR="00A07286" w:rsidRDefault="00C1713F">
      <w:pPr>
        <w:numPr>
          <w:ilvl w:val="0"/>
          <w:numId w:val="1"/>
        </w:numPr>
        <w:spacing w:line="0" w:lineRule="atLeast"/>
      </w:pPr>
      <w:r>
        <w:rPr>
          <w:rFonts w:ascii="標楷體" w:eastAsia="標楷體" w:hAnsi="標楷體"/>
          <w:color w:val="000000"/>
        </w:rPr>
        <w:t>其他事項：無。</w:t>
      </w:r>
    </w:p>
    <w:sectPr w:rsidR="00A07286">
      <w:pgSz w:w="11906" w:h="16838"/>
      <w:pgMar w:top="1079" w:right="1466" w:bottom="68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713F">
      <w:r>
        <w:separator/>
      </w:r>
    </w:p>
  </w:endnote>
  <w:endnote w:type="continuationSeparator" w:id="0">
    <w:p w:rsidR="00000000" w:rsidRDefault="00C1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713F">
      <w:r>
        <w:rPr>
          <w:color w:val="000000"/>
        </w:rPr>
        <w:separator/>
      </w:r>
    </w:p>
  </w:footnote>
  <w:footnote w:type="continuationSeparator" w:id="0">
    <w:p w:rsidR="00000000" w:rsidRDefault="00C1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7D86"/>
    <w:multiLevelType w:val="multilevel"/>
    <w:tmpl w:val="9EACD3C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numFmt w:val="bullet"/>
      <w:lvlText w:val=""/>
      <w:lvlJc w:val="left"/>
      <w:pPr>
        <w:ind w:left="960" w:hanging="480"/>
      </w:pPr>
      <w:rPr>
        <w:rFonts w:ascii="Wingdings 2" w:hAnsi="Wingdings 2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7286"/>
    <w:rsid w:val="00A07286"/>
    <w:rsid w:val="00C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>tccg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臺北市地方總預算歲出用途別月報表統計資料背景說明</dc:title>
  <dc:subject/>
  <dc:creator>user</dc:creator>
  <cp:lastModifiedBy>cws</cp:lastModifiedBy>
  <cp:revision>2</cp:revision>
  <dcterms:created xsi:type="dcterms:W3CDTF">2022-09-15T01:43:00Z</dcterms:created>
  <dcterms:modified xsi:type="dcterms:W3CDTF">2022-09-15T01:43:00Z</dcterms:modified>
</cp:coreProperties>
</file>