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91811" w14:textId="77777777" w:rsidR="00AA24CB" w:rsidRDefault="00B75D2B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統計資料背景說明</w:t>
      </w:r>
    </w:p>
    <w:p w14:paraId="192D0571" w14:textId="77777777" w:rsidR="00AA24CB" w:rsidRDefault="00B75D2B">
      <w:pPr>
        <w:rPr>
          <w:rFonts w:eastAsia="標楷體"/>
        </w:rPr>
      </w:pPr>
      <w:r>
        <w:rPr>
          <w:rFonts w:eastAsia="標楷體"/>
        </w:rPr>
        <w:t>資料種類：漁業統計</w:t>
      </w:r>
    </w:p>
    <w:p w14:paraId="6F367B8B" w14:textId="77777777" w:rsidR="00AA24CB" w:rsidRDefault="00B75D2B">
      <w:r>
        <w:rPr>
          <w:rFonts w:eastAsia="標楷體"/>
        </w:rPr>
        <w:t>資料項目：臺中市新社</w:t>
      </w:r>
      <w:r>
        <w:rPr>
          <w:rFonts w:ascii="標楷體" w:eastAsia="標楷體" w:hAnsi="標楷體"/>
          <w:color w:val="000000"/>
          <w:szCs w:val="24"/>
        </w:rPr>
        <w:t>區</w:t>
      </w:r>
      <w:r>
        <w:rPr>
          <w:rFonts w:eastAsia="標楷體"/>
          <w:color w:val="000000"/>
        </w:rPr>
        <w:t>漁戶數及漁戶人口數</w:t>
      </w:r>
    </w:p>
    <w:p w14:paraId="182E65E1" w14:textId="77777777" w:rsidR="00AA24CB" w:rsidRDefault="00B75D2B">
      <w:pPr>
        <w:numPr>
          <w:ilvl w:val="0"/>
          <w:numId w:val="1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發布及編製機關單位</w:t>
      </w:r>
    </w:p>
    <w:p w14:paraId="47072F3F" w14:textId="77777777" w:rsidR="00AA24CB" w:rsidRDefault="00B75D2B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  <w:rPr>
          <w:rFonts w:eastAsia="標楷體"/>
          <w:color w:val="000000"/>
        </w:rPr>
      </w:pPr>
      <w:r>
        <w:rPr>
          <w:rFonts w:eastAsia="標楷體"/>
          <w:color w:val="000000"/>
        </w:rPr>
        <w:t>發布單位：臺中市新社區公所會計室</w:t>
      </w:r>
    </w:p>
    <w:p w14:paraId="79AC5ACD" w14:textId="77777777" w:rsidR="00AA24CB" w:rsidRDefault="00B75D2B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  <w:rPr>
          <w:rFonts w:eastAsia="標楷體"/>
          <w:color w:val="000000"/>
        </w:rPr>
      </w:pPr>
      <w:r>
        <w:rPr>
          <w:rFonts w:eastAsia="標楷體"/>
          <w:color w:val="000000"/>
        </w:rPr>
        <w:t>編製單位：臺中市新社區公所農業及建設課</w:t>
      </w:r>
    </w:p>
    <w:p w14:paraId="64245F49" w14:textId="77777777" w:rsidR="00AA24CB" w:rsidRDefault="00B75D2B">
      <w:pPr>
        <w:numPr>
          <w:ilvl w:val="1"/>
          <w:numId w:val="1"/>
        </w:numPr>
        <w:spacing w:line="0" w:lineRule="atLeast"/>
        <w:rPr>
          <w:rFonts w:eastAsia="標楷體"/>
          <w:color w:val="000000"/>
        </w:rPr>
      </w:pPr>
      <w:r>
        <w:rPr>
          <w:rFonts w:eastAsia="標楷體"/>
          <w:color w:val="000000"/>
        </w:rPr>
        <w:t>聯絡電話：</w:t>
      </w:r>
      <w:r>
        <w:rPr>
          <w:rFonts w:eastAsia="標楷體"/>
          <w:color w:val="000000"/>
        </w:rPr>
        <w:t>04-25811111#228</w:t>
      </w:r>
    </w:p>
    <w:p w14:paraId="62685440" w14:textId="77777777" w:rsidR="00AA24CB" w:rsidRDefault="00B75D2B">
      <w:pPr>
        <w:numPr>
          <w:ilvl w:val="1"/>
          <w:numId w:val="1"/>
        </w:numPr>
        <w:spacing w:line="0" w:lineRule="atLeast"/>
        <w:rPr>
          <w:rFonts w:eastAsia="標楷體"/>
          <w:color w:val="000000"/>
        </w:rPr>
      </w:pPr>
      <w:r>
        <w:rPr>
          <w:rFonts w:eastAsia="標楷體"/>
          <w:color w:val="000000"/>
        </w:rPr>
        <w:t>傳真：</w:t>
      </w:r>
      <w:r>
        <w:rPr>
          <w:rFonts w:eastAsia="標楷體"/>
          <w:color w:val="000000"/>
        </w:rPr>
        <w:t>04-25820511</w:t>
      </w:r>
    </w:p>
    <w:p w14:paraId="57750832" w14:textId="77777777" w:rsidR="00AA24CB" w:rsidRDefault="00B75D2B">
      <w:pPr>
        <w:numPr>
          <w:ilvl w:val="1"/>
          <w:numId w:val="1"/>
        </w:numPr>
        <w:spacing w:line="0" w:lineRule="atLeast"/>
      </w:pPr>
      <w:r>
        <w:rPr>
          <w:rFonts w:eastAsia="標楷體"/>
          <w:color w:val="000000"/>
          <w:szCs w:val="24"/>
        </w:rPr>
        <w:t>電子信箱：</w:t>
      </w:r>
      <w:r>
        <w:rPr>
          <w:rFonts w:ascii="Arial" w:hAnsi="Arial" w:cs="Arial"/>
          <w:color w:val="000000"/>
          <w:szCs w:val="24"/>
        </w:rPr>
        <w:t>xinshe61@taichung.gov.tw</w:t>
      </w:r>
    </w:p>
    <w:p w14:paraId="3FC8440D" w14:textId="77777777" w:rsidR="00AA24CB" w:rsidRDefault="00B75D2B">
      <w:pPr>
        <w:numPr>
          <w:ilvl w:val="0"/>
          <w:numId w:val="1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發布形式</w:t>
      </w:r>
    </w:p>
    <w:p w14:paraId="00E7710E" w14:textId="77777777" w:rsidR="00AA24CB" w:rsidRDefault="00B75D2B">
      <w:pPr>
        <w:numPr>
          <w:ilvl w:val="1"/>
          <w:numId w:val="1"/>
        </w:numPr>
        <w:spacing w:line="0" w:lineRule="atLeast"/>
        <w:rPr>
          <w:rFonts w:eastAsia="標楷體"/>
          <w:color w:val="000000"/>
        </w:rPr>
      </w:pPr>
      <w:r>
        <w:rPr>
          <w:rFonts w:eastAsia="標楷體"/>
          <w:color w:val="000000"/>
        </w:rPr>
        <w:t>口頭：</w:t>
      </w:r>
    </w:p>
    <w:p w14:paraId="49E8E0C1" w14:textId="77777777" w:rsidR="00AA24CB" w:rsidRDefault="00B75D2B">
      <w:pPr>
        <w:spacing w:line="0" w:lineRule="atLeast"/>
        <w:ind w:firstLine="1495"/>
        <w:rPr>
          <w:rFonts w:eastAsia="標楷體"/>
          <w:color w:val="000000"/>
        </w:rPr>
      </w:pPr>
      <w:r>
        <w:rPr>
          <w:rFonts w:eastAsia="標楷體"/>
          <w:color w:val="000000"/>
        </w:rPr>
        <w:t>（）記者會或說明會</w:t>
      </w:r>
    </w:p>
    <w:p w14:paraId="06032E93" w14:textId="77777777" w:rsidR="00AA24CB" w:rsidRDefault="00B75D2B">
      <w:pPr>
        <w:numPr>
          <w:ilvl w:val="1"/>
          <w:numId w:val="1"/>
        </w:numPr>
        <w:spacing w:line="0" w:lineRule="atLeast"/>
        <w:rPr>
          <w:rFonts w:eastAsia="標楷體"/>
          <w:color w:val="000000"/>
        </w:rPr>
      </w:pPr>
      <w:r>
        <w:rPr>
          <w:rFonts w:eastAsia="標楷體"/>
          <w:color w:val="000000"/>
        </w:rPr>
        <w:t>書面：</w:t>
      </w:r>
    </w:p>
    <w:p w14:paraId="431E6FE7" w14:textId="77777777" w:rsidR="00AA24CB" w:rsidRDefault="00B75D2B">
      <w:pPr>
        <w:spacing w:line="0" w:lineRule="atLeast"/>
        <w:ind w:firstLine="1495"/>
        <w:rPr>
          <w:rFonts w:eastAsia="標楷體"/>
          <w:color w:val="000000"/>
        </w:rPr>
      </w:pPr>
      <w:r>
        <w:rPr>
          <w:rFonts w:eastAsia="標楷體"/>
          <w:color w:val="000000"/>
        </w:rPr>
        <w:t>（）新聞稿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）報表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（）書刊，刊名：</w:t>
      </w:r>
      <w:r>
        <w:rPr>
          <w:rFonts w:eastAsia="標楷體"/>
          <w:color w:val="000000"/>
        </w:rPr>
        <w:t xml:space="preserve"> </w:t>
      </w:r>
    </w:p>
    <w:p w14:paraId="01B7DB18" w14:textId="77777777" w:rsidR="00AA24CB" w:rsidRDefault="00B75D2B">
      <w:pPr>
        <w:numPr>
          <w:ilvl w:val="1"/>
          <w:numId w:val="1"/>
        </w:numPr>
        <w:spacing w:line="0" w:lineRule="atLeast"/>
        <w:rPr>
          <w:rFonts w:eastAsia="標楷體"/>
        </w:rPr>
      </w:pPr>
      <w:r>
        <w:rPr>
          <w:rFonts w:eastAsia="標楷體"/>
        </w:rPr>
        <w:t>電子媒體：</w:t>
      </w:r>
    </w:p>
    <w:p w14:paraId="055CE9F6" w14:textId="77777777" w:rsidR="00AA24CB" w:rsidRDefault="00B75D2B">
      <w:pPr>
        <w:spacing w:line="0" w:lineRule="atLeast"/>
        <w:ind w:left="480" w:firstLine="1015"/>
      </w:pPr>
      <w:r>
        <w:rPr>
          <w:rFonts w:eastAsia="標楷體"/>
          <w:bCs/>
        </w:rPr>
        <w:t>（）線上書刊及資料庫，</w:t>
      </w:r>
      <w:r>
        <w:rPr>
          <w:rFonts w:eastAsia="標楷體"/>
          <w:bCs/>
          <w:color w:val="000000"/>
        </w:rPr>
        <w:t>網址如下：</w:t>
      </w:r>
      <w:r>
        <w:rPr>
          <w:rFonts w:eastAsia="標楷體"/>
          <w:bCs/>
          <w:color w:val="000000"/>
        </w:rPr>
        <w:t xml:space="preserve"> </w:t>
      </w:r>
    </w:p>
    <w:p w14:paraId="5888255C" w14:textId="77777777" w:rsidR="00AA24CB" w:rsidRDefault="00B75D2B">
      <w:pPr>
        <w:spacing w:line="0" w:lineRule="atLeast"/>
        <w:ind w:firstLine="1495"/>
      </w:pPr>
      <w:r>
        <w:rPr>
          <w:rFonts w:eastAsia="標楷體"/>
        </w:rPr>
        <w:t>（）磁片</w:t>
      </w:r>
      <w:r>
        <w:rPr>
          <w:rFonts w:eastAsia="標楷體"/>
        </w:rPr>
        <w:t xml:space="preserve">    </w:t>
      </w:r>
      <w:r>
        <w:rPr>
          <w:rFonts w:eastAsia="標楷體"/>
        </w:rPr>
        <w:t>（）光碟片</w:t>
      </w:r>
      <w:r>
        <w:rPr>
          <w:rFonts w:eastAsia="標楷體"/>
        </w:rPr>
        <w:t xml:space="preserve">  </w:t>
      </w:r>
      <w:r>
        <w:rPr>
          <w:rFonts w:eastAsia="標楷體"/>
        </w:rPr>
        <w:t>（</w:t>
      </w:r>
      <w:r>
        <w:rPr>
          <w:rFonts w:ascii="Wingdings 2" w:eastAsia="Wingdings 2" w:hAnsi="Wingdings 2" w:cs="Wingdings 2"/>
        </w:rPr>
        <w:t></w:t>
      </w:r>
      <w:r>
        <w:rPr>
          <w:rFonts w:eastAsia="標楷體"/>
        </w:rPr>
        <w:t>）其他</w:t>
      </w:r>
      <w:r>
        <w:rPr>
          <w:rFonts w:eastAsia="標楷體"/>
        </w:rPr>
        <w:t>(</w:t>
      </w:r>
      <w:r>
        <w:rPr>
          <w:rFonts w:eastAsia="標楷體"/>
        </w:rPr>
        <w:t>報表</w:t>
      </w:r>
      <w:r>
        <w:rPr>
          <w:rFonts w:eastAsia="標楷體"/>
        </w:rPr>
        <w:t>)</w:t>
      </w:r>
    </w:p>
    <w:p w14:paraId="7A0E2495" w14:textId="77777777" w:rsidR="00AA24CB" w:rsidRDefault="00B75D2B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資料範圍、週期及時效</w:t>
      </w:r>
    </w:p>
    <w:p w14:paraId="0B9E67CF" w14:textId="77777777" w:rsidR="00AA24CB" w:rsidRDefault="00B75D2B">
      <w:pPr>
        <w:numPr>
          <w:ilvl w:val="1"/>
          <w:numId w:val="1"/>
        </w:numPr>
        <w:tabs>
          <w:tab w:val="left" w:pos="960"/>
        </w:tabs>
        <w:spacing w:line="0" w:lineRule="atLeast"/>
        <w:ind w:left="3374" w:hanging="2892"/>
      </w:pPr>
      <w:r>
        <w:rPr>
          <w:rFonts w:eastAsia="標楷體"/>
        </w:rPr>
        <w:t>統計地區範圍及對象：</w:t>
      </w:r>
      <w:r>
        <w:rPr>
          <w:rFonts w:ascii="標楷體" w:eastAsia="標楷體" w:hAnsi="標楷體"/>
          <w:szCs w:val="24"/>
        </w:rPr>
        <w:t>本調查以本區戶籍所在地之漁戶及漁戶人口數為準，以區為單位。</w:t>
      </w:r>
    </w:p>
    <w:p w14:paraId="57013774" w14:textId="77777777" w:rsidR="00AA24CB" w:rsidRDefault="00B75D2B">
      <w:pPr>
        <w:numPr>
          <w:ilvl w:val="1"/>
          <w:numId w:val="1"/>
        </w:numPr>
        <w:spacing w:line="0" w:lineRule="atLeast"/>
      </w:pPr>
      <w:r>
        <w:rPr>
          <w:rFonts w:eastAsia="標楷體"/>
        </w:rPr>
        <w:t>統計標準時間：</w:t>
      </w:r>
      <w:r>
        <w:rPr>
          <w:rFonts w:ascii="標楷體" w:eastAsia="標楷體" w:hAnsi="標楷體"/>
          <w:szCs w:val="24"/>
        </w:rPr>
        <w:t>以每年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31</w:t>
      </w:r>
      <w:r>
        <w:rPr>
          <w:rFonts w:ascii="標楷體" w:eastAsia="標楷體" w:hAnsi="標楷體"/>
          <w:szCs w:val="24"/>
        </w:rPr>
        <w:t>日之事實為準</w:t>
      </w:r>
      <w:r>
        <w:rPr>
          <w:rFonts w:eastAsia="標楷體"/>
        </w:rPr>
        <w:t>。</w:t>
      </w:r>
    </w:p>
    <w:p w14:paraId="64B95360" w14:textId="77777777" w:rsidR="00AA24CB" w:rsidRDefault="00B75D2B">
      <w:pPr>
        <w:numPr>
          <w:ilvl w:val="1"/>
          <w:numId w:val="1"/>
        </w:numPr>
        <w:spacing w:line="0" w:lineRule="atLeast"/>
        <w:rPr>
          <w:rFonts w:eastAsia="標楷體"/>
        </w:rPr>
      </w:pPr>
      <w:r>
        <w:rPr>
          <w:rFonts w:eastAsia="標楷體"/>
        </w:rPr>
        <w:t>統計項目定義：</w:t>
      </w:r>
    </w:p>
    <w:p w14:paraId="34C07BD8" w14:textId="77777777" w:rsidR="00AA24CB" w:rsidRDefault="00B75D2B">
      <w:pPr>
        <w:tabs>
          <w:tab w:val="left" w:pos="960"/>
        </w:tabs>
        <w:spacing w:line="0" w:lineRule="atLeast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漁戶：不論漁業經營者（僅投資漁業而未負實際經營責任者除外）或被僱從事漁業者（限被僱直接從事漁撈或養殖工作者），凡其漁業收入達該戶總收入二分之一以上者為漁戶，以戶籍登記者為準，漁戶中有兼營二種以上之漁業者，應以其收入最高之一種為準。</w:t>
      </w:r>
    </w:p>
    <w:p w14:paraId="575BCB82" w14:textId="77777777" w:rsidR="00AA24CB" w:rsidRDefault="00B75D2B">
      <w:pPr>
        <w:tabs>
          <w:tab w:val="left" w:pos="960"/>
        </w:tabs>
        <w:spacing w:line="0" w:lineRule="atLeast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漁戶人口數：凡漁戶內之人口均視為漁戶人口數，如遠洋漁戶內之人口，均列入遠洋漁戶人口計算。因就學或服役等關係，暫時遷出之人口，仍視為漁戶內人口；惟戶內如有共同居住，但未負共同生活義務之寄籍人口，則應予剔除。</w:t>
      </w:r>
    </w:p>
    <w:p w14:paraId="779B2359" w14:textId="77777777" w:rsidR="00AA24CB" w:rsidRDefault="00B75D2B">
      <w:pPr>
        <w:pStyle w:val="a8"/>
        <w:numPr>
          <w:ilvl w:val="0"/>
          <w:numId w:val="2"/>
        </w:numPr>
        <w:tabs>
          <w:tab w:val="left" w:pos="480"/>
        </w:tabs>
        <w:spacing w:line="0" w:lineRule="atLeast"/>
      </w:pPr>
      <w:r>
        <w:rPr>
          <w:rFonts w:eastAsia="標楷體"/>
        </w:rPr>
        <w:t>統計單位：戶；人。</w:t>
      </w:r>
    </w:p>
    <w:p w14:paraId="15A80778" w14:textId="77777777" w:rsidR="00AA24CB" w:rsidRDefault="00B75D2B">
      <w:pPr>
        <w:numPr>
          <w:ilvl w:val="1"/>
          <w:numId w:val="1"/>
        </w:numPr>
        <w:tabs>
          <w:tab w:val="left" w:pos="960"/>
        </w:tabs>
        <w:spacing w:line="0" w:lineRule="atLeast"/>
        <w:ind w:left="2183" w:hanging="1701"/>
      </w:pPr>
      <w:r>
        <w:rPr>
          <w:rFonts w:eastAsia="標楷體"/>
        </w:rPr>
        <w:t>統計分類：</w:t>
      </w:r>
      <w:r>
        <w:rPr>
          <w:rFonts w:ascii="標楷體" w:eastAsia="標楷體" w:hAnsi="標楷體"/>
          <w:szCs w:val="24"/>
        </w:rPr>
        <w:t>分漁戶數與漁戶人口數均分遠洋、近</w:t>
      </w:r>
      <w:r>
        <w:rPr>
          <w:rFonts w:ascii="標楷體" w:eastAsia="標楷體" w:hAnsi="標楷體"/>
          <w:szCs w:val="24"/>
        </w:rPr>
        <w:t>海、沿岸、海面養殖、內陸漁撈、內陸養殖等六類加以統計。</w:t>
      </w:r>
    </w:p>
    <w:p w14:paraId="6A333D10" w14:textId="77777777" w:rsidR="00AA24CB" w:rsidRDefault="00B75D2B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  <w:rPr>
          <w:rFonts w:eastAsia="標楷體"/>
        </w:rPr>
      </w:pPr>
      <w:r>
        <w:rPr>
          <w:rFonts w:eastAsia="標楷體"/>
        </w:rPr>
        <w:t>發布週期：年。</w:t>
      </w:r>
    </w:p>
    <w:p w14:paraId="4ABA910A" w14:textId="77777777" w:rsidR="00AA24CB" w:rsidRDefault="00B75D2B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</w:pPr>
      <w:r>
        <w:rPr>
          <w:rFonts w:eastAsia="標楷體"/>
        </w:rPr>
        <w:t>時效：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個</w:t>
      </w:r>
      <w:r>
        <w:rPr>
          <w:rFonts w:eastAsia="標楷體"/>
        </w:rPr>
        <w:t>月。</w:t>
      </w:r>
    </w:p>
    <w:p w14:paraId="725AFAA1" w14:textId="77777777" w:rsidR="00AA24CB" w:rsidRDefault="00B75D2B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  <w:rPr>
          <w:rFonts w:eastAsia="標楷體"/>
        </w:rPr>
      </w:pPr>
      <w:r>
        <w:rPr>
          <w:rFonts w:eastAsia="標楷體"/>
        </w:rPr>
        <w:t>資料變革：無。</w:t>
      </w:r>
    </w:p>
    <w:p w14:paraId="274DF610" w14:textId="77777777" w:rsidR="00AA24CB" w:rsidRDefault="00B75D2B">
      <w:pPr>
        <w:numPr>
          <w:ilvl w:val="0"/>
          <w:numId w:val="1"/>
        </w:numPr>
        <w:spacing w:line="0" w:lineRule="atLeast"/>
        <w:rPr>
          <w:rFonts w:eastAsia="標楷體"/>
        </w:rPr>
      </w:pPr>
      <w:r>
        <w:rPr>
          <w:rFonts w:eastAsia="標楷體"/>
        </w:rPr>
        <w:t>公開資料發布訊息</w:t>
      </w:r>
    </w:p>
    <w:p w14:paraId="74E59C26" w14:textId="77777777" w:rsidR="00AA24CB" w:rsidRDefault="00B75D2B">
      <w:pPr>
        <w:numPr>
          <w:ilvl w:val="1"/>
          <w:numId w:val="1"/>
        </w:numPr>
        <w:spacing w:line="0" w:lineRule="atLeast"/>
        <w:rPr>
          <w:rFonts w:eastAsia="標楷體"/>
        </w:rPr>
      </w:pPr>
      <w:r>
        <w:rPr>
          <w:rFonts w:eastAsia="標楷體"/>
        </w:rPr>
        <w:t>預告發布日期：次年</w:t>
      </w:r>
      <w:r>
        <w:rPr>
          <w:rFonts w:eastAsia="標楷體"/>
        </w:rPr>
        <w:t>1</w:t>
      </w:r>
      <w:r>
        <w:rPr>
          <w:rFonts w:eastAsia="標楷體"/>
        </w:rPr>
        <w:t>月底。</w:t>
      </w:r>
      <w:r>
        <w:rPr>
          <w:rFonts w:eastAsia="標楷體"/>
        </w:rPr>
        <w:t>(</w:t>
      </w:r>
      <w:r>
        <w:rPr>
          <w:rFonts w:eastAsia="標楷體"/>
        </w:rPr>
        <w:t>原預告發布日期如遇例假日或國定假日則延至下一個工作日發布</w:t>
      </w:r>
      <w:r>
        <w:rPr>
          <w:rFonts w:eastAsia="標楷體"/>
        </w:rPr>
        <w:t xml:space="preserve">) </w:t>
      </w:r>
    </w:p>
    <w:p w14:paraId="27A463EE" w14:textId="77777777" w:rsidR="00AA24CB" w:rsidRDefault="00B75D2B">
      <w:pPr>
        <w:numPr>
          <w:ilvl w:val="1"/>
          <w:numId w:val="1"/>
        </w:numPr>
        <w:spacing w:line="0" w:lineRule="atLeast"/>
      </w:pPr>
      <w:r>
        <w:rPr>
          <w:rFonts w:eastAsia="標楷體"/>
        </w:rPr>
        <w:t>同步發送單位：</w:t>
      </w:r>
      <w:r>
        <w:rPr>
          <w:rFonts w:ascii="標楷體" w:eastAsia="標楷體" w:hAnsi="標楷體"/>
          <w:szCs w:val="24"/>
        </w:rPr>
        <w:t>臺中市政府主計處</w:t>
      </w:r>
      <w:r>
        <w:rPr>
          <w:rFonts w:eastAsia="標楷體"/>
        </w:rPr>
        <w:t>。</w:t>
      </w:r>
    </w:p>
    <w:p w14:paraId="689A5A54" w14:textId="77777777" w:rsidR="00AA24CB" w:rsidRDefault="00B75D2B">
      <w:pPr>
        <w:numPr>
          <w:ilvl w:val="0"/>
          <w:numId w:val="1"/>
        </w:numPr>
        <w:spacing w:line="0" w:lineRule="atLeast"/>
        <w:rPr>
          <w:rFonts w:eastAsia="標楷體"/>
        </w:rPr>
      </w:pPr>
      <w:r>
        <w:rPr>
          <w:rFonts w:eastAsia="標楷體"/>
        </w:rPr>
        <w:t>資料品質</w:t>
      </w:r>
    </w:p>
    <w:p w14:paraId="0488438D" w14:textId="77777777" w:rsidR="00AA24CB" w:rsidRDefault="00B75D2B">
      <w:pPr>
        <w:numPr>
          <w:ilvl w:val="1"/>
          <w:numId w:val="1"/>
        </w:numPr>
        <w:spacing w:line="0" w:lineRule="atLeast"/>
      </w:pPr>
      <w:r>
        <w:rPr>
          <w:rFonts w:eastAsia="標楷體"/>
        </w:rPr>
        <w:t>統計指標編製方法與資料來源說明：</w:t>
      </w:r>
      <w:r>
        <w:rPr>
          <w:rFonts w:ascii="標楷體" w:eastAsia="標楷體" w:hAnsi="標楷體"/>
          <w:szCs w:val="24"/>
        </w:rPr>
        <w:t>本所農業及建設課依據</w:t>
      </w:r>
      <w:r>
        <w:rPr>
          <w:rFonts w:ascii="標楷體" w:eastAsia="標楷體" w:hAnsi="標楷體" w:cs="Arial"/>
          <w:szCs w:val="24"/>
        </w:rPr>
        <w:t>實際情形</w:t>
      </w:r>
      <w:r>
        <w:rPr>
          <w:rFonts w:ascii="標楷體" w:eastAsia="標楷體" w:hAnsi="標楷體"/>
          <w:szCs w:val="24"/>
        </w:rPr>
        <w:t>編製</w:t>
      </w:r>
      <w:r>
        <w:rPr>
          <w:rFonts w:eastAsia="標楷體"/>
          <w:szCs w:val="24"/>
        </w:rPr>
        <w:t>。</w:t>
      </w:r>
    </w:p>
    <w:p w14:paraId="7A943570" w14:textId="77777777" w:rsidR="00AA24CB" w:rsidRDefault="00B75D2B">
      <w:pPr>
        <w:numPr>
          <w:ilvl w:val="1"/>
          <w:numId w:val="1"/>
        </w:numPr>
        <w:tabs>
          <w:tab w:val="left" w:pos="960"/>
        </w:tabs>
        <w:spacing w:line="0" w:lineRule="atLeast"/>
        <w:ind w:left="5755" w:hanging="5273"/>
        <w:rPr>
          <w:rFonts w:eastAsia="標楷體"/>
        </w:rPr>
      </w:pPr>
      <w:r>
        <w:rPr>
          <w:rFonts w:eastAsia="標楷體"/>
        </w:rPr>
        <w:t>統計資料交叉查核及確保資料合理性之機制：由電腦系統自動進行加總交叉查核。</w:t>
      </w:r>
    </w:p>
    <w:p w14:paraId="22D2F2E4" w14:textId="77777777" w:rsidR="00AA24CB" w:rsidRDefault="00B75D2B">
      <w:pPr>
        <w:numPr>
          <w:ilvl w:val="0"/>
          <w:numId w:val="1"/>
        </w:numPr>
        <w:spacing w:line="0" w:lineRule="atLeast"/>
      </w:pPr>
      <w:r>
        <w:rPr>
          <w:rFonts w:eastAsia="標楷體"/>
        </w:rPr>
        <w:t>須注意及預定改變之事項：表號</w:t>
      </w:r>
      <w:r>
        <w:rPr>
          <w:rFonts w:eastAsia="標楷體"/>
        </w:rPr>
        <w:t>20343-01-02-3</w:t>
      </w:r>
      <w:r>
        <w:rPr>
          <w:rFonts w:eastAsia="標楷體"/>
        </w:rPr>
        <w:t>。</w:t>
      </w:r>
    </w:p>
    <w:p w14:paraId="11BCC935" w14:textId="77777777" w:rsidR="00AA24CB" w:rsidRDefault="00B75D2B">
      <w:pPr>
        <w:numPr>
          <w:ilvl w:val="0"/>
          <w:numId w:val="1"/>
        </w:numPr>
        <w:spacing w:line="0" w:lineRule="atLeast"/>
      </w:pPr>
      <w:r>
        <w:rPr>
          <w:rFonts w:ascii="標楷體" w:eastAsia="標楷體" w:hAnsi="標楷體"/>
        </w:rPr>
        <w:lastRenderedPageBreak/>
        <w:t>其他事項：無。</w:t>
      </w:r>
    </w:p>
    <w:sectPr w:rsidR="00AA24CB">
      <w:pgSz w:w="11906" w:h="16838"/>
      <w:pgMar w:top="1079" w:right="1466" w:bottom="680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9D018" w14:textId="77777777" w:rsidR="00000000" w:rsidRDefault="00B75D2B">
      <w:r>
        <w:separator/>
      </w:r>
    </w:p>
  </w:endnote>
  <w:endnote w:type="continuationSeparator" w:id="0">
    <w:p w14:paraId="39F8C8E2" w14:textId="77777777" w:rsidR="00000000" w:rsidRDefault="00B7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FA875" w14:textId="77777777" w:rsidR="00000000" w:rsidRDefault="00B75D2B">
      <w:r>
        <w:rPr>
          <w:color w:val="000000"/>
        </w:rPr>
        <w:separator/>
      </w:r>
    </w:p>
  </w:footnote>
  <w:footnote w:type="continuationSeparator" w:id="0">
    <w:p w14:paraId="1337D78F" w14:textId="77777777" w:rsidR="00000000" w:rsidRDefault="00B75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20A19"/>
    <w:multiLevelType w:val="multilevel"/>
    <w:tmpl w:val="1DE66D20"/>
    <w:lvl w:ilvl="0">
      <w:numFmt w:val="bullet"/>
      <w:lvlText w:val=""/>
      <w:lvlJc w:val="left"/>
      <w:pPr>
        <w:ind w:left="960" w:hanging="480"/>
      </w:pPr>
      <w:rPr>
        <w:rFonts w:ascii="Wingdings 2" w:hAnsi="Wingdings 2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1" w15:restartNumberingAfterBreak="0">
    <w:nsid w:val="49601A0F"/>
    <w:multiLevelType w:val="multilevel"/>
    <w:tmpl w:val="B38C750E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>
      <w:numFmt w:val="bullet"/>
      <w:lvlText w:val=""/>
      <w:lvlJc w:val="left"/>
      <w:pPr>
        <w:ind w:left="960" w:hanging="480"/>
      </w:pPr>
      <w:rPr>
        <w:rFonts w:ascii="Wingdings 2" w:hAnsi="Wingdings 2"/>
      </w:rPr>
    </w:lvl>
    <w:lvl w:ilvl="2">
      <w:start w:val="1"/>
      <w:numFmt w:val="taiwaneseCountingThousand"/>
      <w:lvlText w:val="（%3）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04448538">
    <w:abstractNumId w:val="1"/>
  </w:num>
  <w:num w:numId="2" w16cid:durableId="187264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A24CB"/>
    <w:rsid w:val="00AA24CB"/>
    <w:rsid w:val="00B7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B806E"/>
  <w15:docId w15:val="{5839929A-633D-4E20-95CB-E0FE6A0E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3"/>
    </w:rPr>
  </w:style>
  <w:style w:type="paragraph" w:styleId="a8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>tccg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臺北市地方總預算歲出用途別月報表統計資料背景說明</dc:title>
  <dc:subject/>
  <dc:creator>user</dc:creator>
  <cp:lastModifiedBy>Jason</cp:lastModifiedBy>
  <cp:revision>2</cp:revision>
  <dcterms:created xsi:type="dcterms:W3CDTF">2024-12-11T03:41:00Z</dcterms:created>
  <dcterms:modified xsi:type="dcterms:W3CDTF">2024-12-11T03:41:00Z</dcterms:modified>
</cp:coreProperties>
</file>