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69"/>
      </w:tblGrid>
      <w:tr w:rsidR="003019B5">
        <w:tblPrEx>
          <w:tblCellMar>
            <w:top w:w="0" w:type="dxa"/>
            <w:bottom w:w="0" w:type="dxa"/>
          </w:tblCellMar>
        </w:tblPrEx>
        <w:trPr>
          <w:trHeight w:val="14306"/>
        </w:trPr>
        <w:tc>
          <w:tcPr>
            <w:tcW w:w="101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19B5" w:rsidRDefault="00F24F28">
            <w:pPr>
              <w:spacing w:line="360" w:lineRule="exact"/>
              <w:jc w:val="center"/>
              <w:rPr>
                <w:bCs/>
                <w:color w:val="000000"/>
                <w:spacing w:val="-4"/>
                <w:sz w:val="28"/>
              </w:rPr>
            </w:pPr>
            <w:bookmarkStart w:id="0" w:name="_GoBack"/>
            <w:bookmarkEnd w:id="0"/>
            <w:r>
              <w:rPr>
                <w:bCs/>
                <w:color w:val="000000"/>
                <w:spacing w:val="-4"/>
                <w:sz w:val="28"/>
              </w:rPr>
              <w:t>統計資料背景說明</w:t>
            </w:r>
          </w:p>
          <w:p w:rsidR="003019B5" w:rsidRDefault="003019B5">
            <w:pPr>
              <w:spacing w:line="360" w:lineRule="exact"/>
              <w:jc w:val="center"/>
              <w:rPr>
                <w:bCs/>
                <w:color w:val="000000"/>
                <w:spacing w:val="-4"/>
                <w:sz w:val="28"/>
              </w:rPr>
            </w:pPr>
          </w:p>
          <w:p w:rsidR="003019B5" w:rsidRDefault="00F24F28">
            <w:pPr>
              <w:spacing w:line="360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資料種類：漁業統計</w:t>
            </w:r>
          </w:p>
          <w:p w:rsidR="003019B5" w:rsidRDefault="00F24F28">
            <w:pPr>
              <w:spacing w:line="360" w:lineRule="exact"/>
              <w:ind w:left="1417" w:hanging="1417"/>
            </w:pPr>
            <w:r>
              <w:rPr>
                <w:color w:val="000000"/>
                <w:sz w:val="28"/>
              </w:rPr>
              <w:t>資料項目：</w:t>
            </w:r>
            <w:r>
              <w:rPr>
                <w:bCs/>
                <w:color w:val="000000"/>
                <w:spacing w:val="-4"/>
                <w:sz w:val="28"/>
              </w:rPr>
              <w:t>臺中市龍井區水產養殖面積</w:t>
            </w:r>
            <w:r>
              <w:rPr>
                <w:bCs/>
                <w:color w:val="000000"/>
                <w:spacing w:val="-4"/>
                <w:sz w:val="28"/>
              </w:rPr>
              <w:t>─</w:t>
            </w:r>
            <w:r>
              <w:rPr>
                <w:bCs/>
                <w:color w:val="000000"/>
                <w:spacing w:val="-4"/>
                <w:sz w:val="28"/>
              </w:rPr>
              <w:t>按魚類別分</w:t>
            </w:r>
          </w:p>
          <w:p w:rsidR="003019B5" w:rsidRDefault="003019B5">
            <w:pPr>
              <w:spacing w:line="360" w:lineRule="exact"/>
              <w:rPr>
                <w:color w:val="000000"/>
                <w:sz w:val="28"/>
              </w:rPr>
            </w:pPr>
          </w:p>
          <w:p w:rsidR="003019B5" w:rsidRDefault="00F24F28">
            <w:p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一、發布及編製機關單位</w:t>
            </w:r>
          </w:p>
          <w:p w:rsidR="003019B5" w:rsidRDefault="00F24F28">
            <w:pPr>
              <w:spacing w:line="360" w:lineRule="exact"/>
              <w:ind w:left="720" w:hanging="426"/>
              <w:jc w:val="both"/>
            </w:pPr>
            <w:r>
              <w:rPr>
                <w:color w:val="000000"/>
                <w:spacing w:val="-4"/>
                <w:sz w:val="28"/>
              </w:rPr>
              <w:t>＊發布機關、單位：</w:t>
            </w:r>
            <w:r>
              <w:rPr>
                <w:bCs/>
                <w:color w:val="000000"/>
                <w:spacing w:val="-4"/>
                <w:sz w:val="28"/>
              </w:rPr>
              <w:t>臺中市</w:t>
            </w:r>
            <w:r>
              <w:rPr>
                <w:rFonts w:ascii="Calibri" w:hAnsi="Calibri" w:cs="Calibri"/>
                <w:bCs/>
                <w:color w:val="000000"/>
                <w:spacing w:val="-4"/>
                <w:sz w:val="28"/>
              </w:rPr>
              <w:t>龍井區</w:t>
            </w:r>
            <w:r>
              <w:rPr>
                <w:bCs/>
                <w:color w:val="000000"/>
                <w:spacing w:val="-4"/>
                <w:sz w:val="28"/>
              </w:rPr>
              <w:t>公所會計室</w:t>
            </w:r>
          </w:p>
          <w:p w:rsidR="003019B5" w:rsidRDefault="00F24F28">
            <w:pPr>
              <w:spacing w:line="400" w:lineRule="exact"/>
              <w:ind w:left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＊編製單位：臺中市龍井區公所農業課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阮銘哲</w:t>
            </w:r>
          </w:p>
          <w:p w:rsidR="003019B5" w:rsidRDefault="00F24F28">
            <w:pPr>
              <w:spacing w:line="400" w:lineRule="exact"/>
              <w:ind w:left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＊聯絡電話：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04-26352411#1142</w:t>
            </w:r>
          </w:p>
          <w:p w:rsidR="003019B5" w:rsidRDefault="00F24F28">
            <w:pPr>
              <w:spacing w:line="400" w:lineRule="exact"/>
              <w:ind w:left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＊傳真：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04-26354222</w:t>
            </w:r>
          </w:p>
          <w:p w:rsidR="003019B5" w:rsidRDefault="00F24F28">
            <w:pPr>
              <w:spacing w:line="400" w:lineRule="exact"/>
              <w:ind w:left="48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＊電子信箱：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r208@taichung.gov.tw</w:t>
            </w:r>
          </w:p>
          <w:p w:rsidR="003019B5" w:rsidRDefault="00F24F28">
            <w:pPr>
              <w:spacing w:line="360" w:lineRule="exact"/>
              <w:ind w:left="540" w:hanging="54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二、發布形式</w:t>
            </w:r>
          </w:p>
          <w:p w:rsidR="003019B5" w:rsidRDefault="00F24F28">
            <w:pPr>
              <w:numPr>
                <w:ilvl w:val="0"/>
                <w:numId w:val="3"/>
              </w:num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口頭：</w:t>
            </w:r>
          </w:p>
          <w:p w:rsidR="003019B5" w:rsidRDefault="00F24F28">
            <w:p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）記者會或說明會</w:t>
            </w:r>
          </w:p>
          <w:p w:rsidR="003019B5" w:rsidRDefault="00F24F28">
            <w:pPr>
              <w:numPr>
                <w:ilvl w:val="0"/>
                <w:numId w:val="4"/>
              </w:numPr>
              <w:spacing w:line="360" w:lineRule="exact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書面：</w:t>
            </w:r>
          </w:p>
          <w:p w:rsidR="003019B5" w:rsidRDefault="00F24F28">
            <w:pPr>
              <w:spacing w:line="360" w:lineRule="exact"/>
              <w:ind w:left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  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）新聞稿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V</w:t>
            </w:r>
            <w:r>
              <w:rPr>
                <w:color w:val="000000"/>
                <w:sz w:val="28"/>
              </w:rPr>
              <w:t>）報表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）書刊，刊名：</w:t>
            </w:r>
          </w:p>
          <w:p w:rsidR="003019B5" w:rsidRDefault="00F24F28">
            <w:pPr>
              <w:spacing w:line="360" w:lineRule="exact"/>
              <w:ind w:left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＊電子媒體：</w:t>
            </w:r>
          </w:p>
          <w:p w:rsidR="003019B5" w:rsidRDefault="00F24F28">
            <w:pPr>
              <w:spacing w:line="360" w:lineRule="exact"/>
              <w:ind w:left="970" w:hanging="29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>V</w:t>
            </w:r>
            <w:r>
              <w:rPr>
                <w:color w:val="000000"/>
                <w:sz w:val="28"/>
              </w:rPr>
              <w:t>）線上書刊及資料庫，網址：</w:t>
            </w:r>
          </w:p>
          <w:p w:rsidR="003019B5" w:rsidRDefault="00F24F28">
            <w:pPr>
              <w:spacing w:line="360" w:lineRule="exact"/>
              <w:ind w:left="965" w:right="-328"/>
              <w:jc w:val="both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http://govstat.taichung.gov.tw/TCSTAT/Page/kcg01_2.aspx?Mid1=387740000A</w:t>
            </w:r>
          </w:p>
          <w:p w:rsidR="003019B5" w:rsidRDefault="00F24F28">
            <w:pPr>
              <w:spacing w:line="360" w:lineRule="exact"/>
              <w:ind w:left="966" w:right="-328" w:hanging="29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）磁片</w:t>
            </w:r>
            <w:r>
              <w:rPr>
                <w:color w:val="000000"/>
                <w:sz w:val="28"/>
              </w:rPr>
              <w:t xml:space="preserve"> 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）光碟片</w:t>
            </w: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）其他</w:t>
            </w:r>
          </w:p>
          <w:p w:rsidR="003019B5" w:rsidRDefault="00F24F28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三、資料範圍、週期及時效</w:t>
            </w:r>
          </w:p>
          <w:p w:rsidR="003019B5" w:rsidRDefault="00F24F28">
            <w:pPr>
              <w:spacing w:line="360" w:lineRule="exact"/>
              <w:ind w:left="566" w:hanging="56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＊統計地區範圍及對象：凡在本區境內養殖水產動植物之場所，不論其使用權合法與否，均為統計對象。</w:t>
            </w:r>
          </w:p>
          <w:p w:rsidR="003019B5" w:rsidRDefault="00F24F28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＊統計標準時間：以每年</w:t>
            </w:r>
            <w:r>
              <w:rPr>
                <w:color w:val="000000"/>
                <w:sz w:val="28"/>
              </w:rPr>
              <w:t>12</w:t>
            </w:r>
            <w:r>
              <w:rPr>
                <w:color w:val="000000"/>
                <w:sz w:val="28"/>
              </w:rPr>
              <w:t>月</w:t>
            </w:r>
            <w:r>
              <w:rPr>
                <w:color w:val="000000"/>
                <w:sz w:val="28"/>
              </w:rPr>
              <w:t>31</w:t>
            </w:r>
            <w:r>
              <w:rPr>
                <w:color w:val="000000"/>
                <w:sz w:val="28"/>
              </w:rPr>
              <w:t>日之事實為準。</w:t>
            </w:r>
          </w:p>
          <w:p w:rsidR="003019B5" w:rsidRDefault="00F24F28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＊統計項目定義：</w:t>
            </w:r>
          </w:p>
          <w:p w:rsidR="003019B5" w:rsidRDefault="00F24F28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（一）海面養殖：在高潮線外從事水產動植物之養殖或蓄養作業者。</w:t>
            </w:r>
            <w:r>
              <w:rPr>
                <w:color w:val="000000"/>
                <w:sz w:val="28"/>
              </w:rPr>
              <w:tab/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        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淺海養殖：利用潮間帶及低潮線以外之淺海區域，養殖水產生物。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其他養殖：不屬上類之海面養殖作業。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（二）內陸養殖：在高潮線從事水產動植物之養育或蓄養作業者。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鹹水魚塭：指在沿岸、內灣、海埔新生地等地區築堤引灌海水，利用各種鹽度鹹水養殖水產生物之作業。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淡水魚塭：指利用土地圍築堤岸，使其經常蓄積淡水達一定深度，專供養殖水產生物之作業。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         3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觀賞魚養殖：指利用固定水域生產供觀賞性之水生動植物之作業。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4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其他魚塭：指不屬於上列各項之內陸養殖，如利用灌溉用之池、埤、湖、沼、水庫等養殖水產生物之作業。</w:t>
            </w:r>
          </w:p>
          <w:p w:rsidR="003019B5" w:rsidRDefault="00F24F28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（三）箱網養殖：在淺海及內陸設置箱網以從事水產動植物之養殖或蓄養者。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1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海面養殖：在淺海之干潮線至外海處，使用箱網養殖水產生物。</w:t>
            </w:r>
          </w:p>
          <w:p w:rsidR="003019B5" w:rsidRDefault="00F24F28">
            <w:pPr>
              <w:spacing w:line="360" w:lineRule="exact"/>
              <w:ind w:left="1134" w:hanging="1134"/>
              <w:jc w:val="both"/>
            </w:pPr>
            <w:r>
              <w:rPr>
                <w:color w:val="000000"/>
                <w:sz w:val="28"/>
              </w:rPr>
              <w:t xml:space="preserve">　　　　</w:t>
            </w:r>
            <w:r>
              <w:rPr>
                <w:color w:val="000000"/>
                <w:sz w:val="28"/>
              </w:rPr>
              <w:t xml:space="preserve"> 2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、</w:t>
            </w:r>
            <w:r>
              <w:rPr>
                <w:color w:val="000000"/>
                <w:sz w:val="28"/>
              </w:rPr>
              <w:t>內陸養殖：利用水庫或湖沼設置箱網養殖水產生物。</w:t>
            </w:r>
          </w:p>
          <w:p w:rsidR="003019B5" w:rsidRDefault="00F24F28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 </w:t>
            </w:r>
            <w:r>
              <w:rPr>
                <w:color w:val="000000"/>
                <w:sz w:val="28"/>
              </w:rPr>
              <w:t>（四）單養：指一個養殖池</w:t>
            </w:r>
            <w:r>
              <w:rPr>
                <w:color w:val="000000"/>
                <w:sz w:val="28"/>
              </w:rPr>
              <w:t>內，專養一種水產生物者。</w:t>
            </w:r>
          </w:p>
          <w:p w:rsidR="003019B5" w:rsidRDefault="00F24F28">
            <w:pPr>
              <w:spacing w:line="360" w:lineRule="exact"/>
              <w:ind w:left="1700" w:hanging="17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　（五）混養：指一個養殖池內，同時養殖二種以上水產生物者。</w:t>
            </w:r>
          </w:p>
          <w:p w:rsidR="003019B5" w:rsidRDefault="00F24F28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 xml:space="preserve">  </w:t>
            </w:r>
            <w:r>
              <w:rPr>
                <w:color w:val="000000"/>
                <w:sz w:val="28"/>
              </w:rPr>
              <w:t>（六）休養：指已相當期間（一年內）未從事養殖，調查時仍未養殖且最近期間無復養可能之暫停養殖魚塭。</w:t>
            </w:r>
          </w:p>
          <w:p w:rsidR="003019B5" w:rsidRDefault="00F24F28">
            <w:pPr>
              <w:spacing w:line="360" w:lineRule="exact"/>
              <w:ind w:left="1134" w:hanging="1134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　（七）本表箱網養殖因方式特殊另歸一類，不包括在「海面養殖」、「內陸養殖」中。</w:t>
            </w:r>
          </w:p>
          <w:p w:rsidR="003019B5" w:rsidRDefault="00F24F28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＊統計單位：公頃、立方公尺。</w:t>
            </w:r>
          </w:p>
          <w:p w:rsidR="003019B5" w:rsidRDefault="00F24F28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＊統計分類：養殖面積按海面養殖（分淺海養殖及其他養殖）、內陸養殖</w:t>
            </w:r>
            <w:r>
              <w:rPr>
                <w:color w:val="000000"/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>（分鹹水魚塭養殖、淡水魚塭養殖、觀賞魚養殖及其他魚塭養殖）及箱網養殖（分海面養殖及內陸養殖）加以調查、統計；養殖方式按單養、混養及休養分。魚類別按魚</w:t>
            </w:r>
            <w:r>
              <w:rPr>
                <w:color w:val="000000"/>
                <w:sz w:val="28"/>
              </w:rPr>
              <w:t>類、蝦類、貝介類、水產生物類及藻類分。</w:t>
            </w:r>
          </w:p>
          <w:p w:rsidR="003019B5" w:rsidRDefault="00F24F28">
            <w:pPr>
              <w:spacing w:line="360" w:lineRule="exact"/>
              <w:ind w:left="1134" w:hanging="88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（一）魚類：依吳郭魚類、鯉魚、鰻魚、淡水鯰、鱸魚、鱒魚、香魚、虱目魚、鯛類、鱠、烏魚、泥鰍、觀賞魚類、其他魚類分。</w:t>
            </w:r>
          </w:p>
          <w:p w:rsidR="003019B5" w:rsidRDefault="00F24F28">
            <w:pPr>
              <w:spacing w:line="360" w:lineRule="exact"/>
              <w:ind w:left="1134" w:hanging="88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（二）蝦類：依草蝦、斑節蝦、沙蝦、長腳大蝦、紅尾蝦、龍蝦、白蝦、其他蝦類分。</w:t>
            </w:r>
          </w:p>
          <w:p w:rsidR="003019B5" w:rsidRDefault="00F24F28">
            <w:pPr>
              <w:spacing w:line="360" w:lineRule="exact"/>
              <w:ind w:left="1134" w:hanging="882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（三）貝介類：依牡蠣、文蛤、蜊、血蚶、九孔、西施貝、蜆、其他貝介類分；水產生物類：依蟳蟹類、牛蛙、鱉、鱷魚、其他水產生物分。</w:t>
            </w:r>
          </w:p>
          <w:p w:rsidR="003019B5" w:rsidRDefault="00F24F28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（四）藻類：依紫菜、龍鬚菜、青海菜、其他藻類分。</w:t>
            </w:r>
          </w:p>
          <w:p w:rsidR="003019B5" w:rsidRDefault="00F24F28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＊發布週期：年。</w:t>
            </w:r>
          </w:p>
          <w:p w:rsidR="003019B5" w:rsidRDefault="00F24F28">
            <w:pPr>
              <w:spacing w:line="360" w:lineRule="exact"/>
              <w:ind w:firstLine="280"/>
              <w:jc w:val="both"/>
            </w:pPr>
            <w:r>
              <w:rPr>
                <w:color w:val="000000"/>
                <w:sz w:val="28"/>
              </w:rPr>
              <w:t>＊時效：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個月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。</w:t>
            </w:r>
          </w:p>
          <w:p w:rsidR="003019B5" w:rsidRDefault="00F24F28">
            <w:pPr>
              <w:spacing w:line="360" w:lineRule="exact"/>
              <w:ind w:firstLine="28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＊資料變革：無。</w:t>
            </w:r>
          </w:p>
          <w:p w:rsidR="003019B5" w:rsidRDefault="00F24F28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四、公開資料發布訊息</w:t>
            </w:r>
          </w:p>
          <w:p w:rsidR="003019B5" w:rsidRDefault="00F24F28">
            <w:pPr>
              <w:spacing w:line="360" w:lineRule="exact"/>
              <w:ind w:left="2480" w:hanging="2240"/>
              <w:jc w:val="both"/>
            </w:pPr>
            <w:r>
              <w:rPr>
                <w:color w:val="000000"/>
                <w:sz w:val="28"/>
              </w:rPr>
              <w:t>＊預告發布日期：每年終了</w:t>
            </w:r>
            <w:r>
              <w:rPr>
                <w:color w:val="000000"/>
                <w:sz w:val="28"/>
              </w:rPr>
              <w:t>1</w:t>
            </w:r>
            <w:r>
              <w:rPr>
                <w:color w:val="000000"/>
                <w:sz w:val="28"/>
              </w:rPr>
              <w:t>個月</w:t>
            </w:r>
            <w:r>
              <w:rPr>
                <w:rFonts w:ascii="新細明體" w:eastAsia="新細明體" w:hAnsi="新細明體"/>
                <w:color w:val="000000"/>
                <w:sz w:val="28"/>
              </w:rPr>
              <w:t>。</w:t>
            </w:r>
            <w:r>
              <w:rPr>
                <w:color w:val="000000"/>
                <w:sz w:val="28"/>
              </w:rPr>
              <w:t>(</w:t>
            </w:r>
            <w:r>
              <w:rPr>
                <w:color w:val="000000"/>
                <w:sz w:val="28"/>
              </w:rPr>
              <w:t>原訂預告發布日期如遇例假日或國定假日則延至下一個工作日發布</w:t>
            </w:r>
            <w:r>
              <w:rPr>
                <w:color w:val="000000"/>
                <w:sz w:val="28"/>
              </w:rPr>
              <w:t>)</w:t>
            </w:r>
          </w:p>
          <w:p w:rsidR="003019B5" w:rsidRDefault="00F24F28">
            <w:pPr>
              <w:spacing w:line="360" w:lineRule="exact"/>
              <w:ind w:left="560" w:hanging="308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＊同步發送單位：臺中市政府主計處。</w:t>
            </w:r>
          </w:p>
          <w:p w:rsidR="003019B5" w:rsidRDefault="00F24F28">
            <w:pPr>
              <w:spacing w:before="240" w:line="360" w:lineRule="exact"/>
              <w:ind w:left="616" w:hanging="616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五、資料品質</w:t>
            </w:r>
          </w:p>
          <w:p w:rsidR="003019B5" w:rsidRDefault="00F24F28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＊統計指標編製方法與資料來源說明：</w:t>
            </w:r>
            <w:r>
              <w:rPr>
                <w:color w:val="000000"/>
                <w:spacing w:val="17"/>
                <w:sz w:val="28"/>
                <w:szCs w:val="28"/>
              </w:rPr>
              <w:t>本所農業課依據養殖漁業管理系統資料彙編。</w:t>
            </w:r>
          </w:p>
          <w:p w:rsidR="003019B5" w:rsidRDefault="00F24F28">
            <w:pPr>
              <w:spacing w:line="360" w:lineRule="exact"/>
              <w:ind w:left="560" w:hanging="308"/>
              <w:jc w:val="both"/>
            </w:pPr>
            <w:r>
              <w:rPr>
                <w:color w:val="000000"/>
                <w:sz w:val="28"/>
              </w:rPr>
              <w:t>＊統計資料交叉查核及確保資料合理性之機制：</w:t>
            </w:r>
            <w:r>
              <w:rPr>
                <w:color w:val="000000"/>
                <w:spacing w:val="17"/>
                <w:sz w:val="28"/>
                <w:szCs w:val="28"/>
              </w:rPr>
              <w:t>由電腦系統自動進行加總</w:t>
            </w:r>
            <w:r>
              <w:rPr>
                <w:rFonts w:ascii="新細明體" w:hAnsi="新細明體" w:cs="新細明體"/>
                <w:color w:val="000000"/>
                <w:kern w:val="0"/>
                <w:sz w:val="28"/>
                <w:szCs w:val="28"/>
              </w:rPr>
              <w:t>交叉查核。</w:t>
            </w:r>
          </w:p>
          <w:p w:rsidR="003019B5" w:rsidRDefault="00F24F28">
            <w:pPr>
              <w:spacing w:before="240" w:line="360" w:lineRule="exact"/>
              <w:ind w:left="600" w:hanging="600"/>
              <w:jc w:val="bot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六、須注意及預定改變之事項：表號</w:t>
            </w:r>
            <w:r>
              <w:rPr>
                <w:color w:val="000000"/>
                <w:sz w:val="28"/>
              </w:rPr>
              <w:t>20341-04-01-3</w:t>
            </w:r>
            <w:r>
              <w:rPr>
                <w:color w:val="000000"/>
                <w:sz w:val="28"/>
              </w:rPr>
              <w:t>。</w:t>
            </w:r>
          </w:p>
          <w:p w:rsidR="003019B5" w:rsidRDefault="00F24F28">
            <w:pPr>
              <w:spacing w:before="240" w:line="360" w:lineRule="exact"/>
              <w:ind w:left="600" w:hanging="600"/>
              <w:jc w:val="both"/>
            </w:pPr>
            <w:r>
              <w:rPr>
                <w:color w:val="000000"/>
                <w:sz w:val="28"/>
              </w:rPr>
              <w:t>七、其他事項：無。</w:t>
            </w:r>
          </w:p>
        </w:tc>
      </w:tr>
    </w:tbl>
    <w:p w:rsidR="003019B5" w:rsidRDefault="003019B5">
      <w:pPr>
        <w:rPr>
          <w:color w:val="000000"/>
        </w:rPr>
      </w:pPr>
    </w:p>
    <w:sectPr w:rsidR="003019B5">
      <w:pgSz w:w="11906" w:h="16838"/>
      <w:pgMar w:top="794" w:right="1440" w:bottom="794" w:left="1440" w:header="720" w:footer="720" w:gutter="0"/>
      <w:cols w:space="720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24F28">
      <w:r>
        <w:separator/>
      </w:r>
    </w:p>
  </w:endnote>
  <w:endnote w:type="continuationSeparator" w:id="0">
    <w:p w:rsidR="00000000" w:rsidRDefault="00F24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24F28">
      <w:r>
        <w:rPr>
          <w:color w:val="000000"/>
        </w:rPr>
        <w:separator/>
      </w:r>
    </w:p>
  </w:footnote>
  <w:footnote w:type="continuationSeparator" w:id="0">
    <w:p w:rsidR="00000000" w:rsidRDefault="00F24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06122"/>
    <w:multiLevelType w:val="multilevel"/>
    <w:tmpl w:val="20942A26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0F31090F"/>
    <w:multiLevelType w:val="multilevel"/>
    <w:tmpl w:val="8508F4D0"/>
    <w:lvl w:ilvl="0">
      <w:numFmt w:val="bullet"/>
      <w:lvlText w:val="＊"/>
      <w:lvlJc w:val="left"/>
      <w:pPr>
        <w:ind w:left="579" w:hanging="285"/>
      </w:pPr>
      <w:rPr>
        <w:rFonts w:ascii="標楷體" w:eastAsia="標楷體" w:hAnsi="標楷體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4B084684"/>
    <w:multiLevelType w:val="multilevel"/>
    <w:tmpl w:val="12A83CBE"/>
    <w:styleLink w:val="LFO1"/>
    <w:lvl w:ilvl="0">
      <w:start w:val="1"/>
      <w:numFmt w:val="taiwaneseCountingThousand"/>
      <w:pStyle w:val="1"/>
      <w:lvlText w:val="第%1章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D085297"/>
    <w:multiLevelType w:val="multilevel"/>
    <w:tmpl w:val="66D8CA80"/>
    <w:styleLink w:val="LFO2"/>
    <w:lvl w:ilvl="0">
      <w:start w:val="1"/>
      <w:numFmt w:val="taiwaneseCountingThousand"/>
      <w:pStyle w:val="a"/>
      <w:lvlText w:val="%1、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19B5"/>
    <w:rsid w:val="003019B5"/>
    <w:rsid w:val="00F2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 w:cs="Courier New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pPr>
      <w:widowControl w:val="0"/>
      <w:suppressAutoHyphens/>
    </w:pPr>
    <w:rPr>
      <w:rFonts w:ascii="標楷體" w:eastAsia="標楷體" w:hAnsi="標楷體"/>
      <w:kern w:val="3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pPr>
      <w:ind w:left="480"/>
    </w:pPr>
    <w:rPr>
      <w:rFonts w:ascii="Calibri" w:eastAsia="新細明體" w:hAnsi="Calibri"/>
    </w:rPr>
  </w:style>
  <w:style w:type="character" w:customStyle="1" w:styleId="a5">
    <w:name w:val="清單段落 字元"/>
    <w:rPr>
      <w:kern w:val="3"/>
      <w:sz w:val="24"/>
      <w:szCs w:val="22"/>
    </w:rPr>
  </w:style>
  <w:style w:type="paragraph" w:customStyle="1" w:styleId="1">
    <w:name w:val="1.章"/>
    <w:basedOn w:val="a4"/>
    <w:pPr>
      <w:numPr>
        <w:numId w:val="1"/>
      </w:numPr>
    </w:pPr>
    <w:rPr>
      <w:rFonts w:ascii="Times New Roman" w:eastAsia="標楷體" w:hAnsi="Times New Roman"/>
      <w:sz w:val="32"/>
      <w:szCs w:val="32"/>
    </w:rPr>
  </w:style>
  <w:style w:type="character" w:customStyle="1" w:styleId="10">
    <w:name w:val="1.章 字元"/>
    <w:rPr>
      <w:rFonts w:ascii="Times New Roman" w:eastAsia="標楷體" w:hAnsi="Times New Roman"/>
      <w:kern w:val="3"/>
      <w:sz w:val="32"/>
      <w:szCs w:val="32"/>
    </w:rPr>
  </w:style>
  <w:style w:type="paragraph" w:customStyle="1" w:styleId="a">
    <w:name w:val="節"/>
    <w:basedOn w:val="a4"/>
    <w:pPr>
      <w:numPr>
        <w:numId w:val="2"/>
      </w:numPr>
    </w:pPr>
    <w:rPr>
      <w:rFonts w:ascii="Times New Roman" w:eastAsia="標楷體" w:hAnsi="Times New Roman"/>
    </w:rPr>
  </w:style>
  <w:style w:type="character" w:customStyle="1" w:styleId="a6">
    <w:name w:val="節 字元"/>
    <w:rPr>
      <w:rFonts w:ascii="Times New Roman" w:eastAsia="標楷體" w:hAnsi="Times New Roman"/>
      <w:kern w:val="3"/>
      <w:sz w:val="24"/>
      <w:szCs w:val="22"/>
    </w:rPr>
  </w:style>
  <w:style w:type="paragraph" w:styleId="a7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rPr>
      <w:rFonts w:ascii="標楷體" w:eastAsia="標楷體" w:hAnsi="標楷體"/>
      <w:kern w:val="3"/>
    </w:rPr>
  </w:style>
  <w:style w:type="paragraph" w:styleId="a9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rPr>
      <w:rFonts w:ascii="標楷體" w:eastAsia="標楷體" w:hAnsi="標楷體"/>
      <w:kern w:val="3"/>
    </w:rPr>
  </w:style>
  <w:style w:type="paragraph" w:styleId="ab">
    <w:name w:val="Balloon Text"/>
    <w:basedOn w:val="a0"/>
    <w:rPr>
      <w:rFonts w:ascii="Cambria" w:eastAsia="新細明體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1">
    <w:name w:val="樣式1"/>
    <w:basedOn w:val="ad"/>
    <w:pPr>
      <w:spacing w:line="600" w:lineRule="exact"/>
    </w:pPr>
  </w:style>
  <w:style w:type="paragraph" w:styleId="ad">
    <w:name w:val="Plain Text"/>
    <w:basedOn w:val="a0"/>
    <w:rPr>
      <w:rFonts w:ascii="細明體" w:eastAsia="細明體" w:hAnsi="細明體" w:cs="Courier New"/>
      <w:szCs w:val="24"/>
    </w:rPr>
  </w:style>
  <w:style w:type="character" w:customStyle="1" w:styleId="ae">
    <w:name w:val="純文字 字元"/>
    <w:rPr>
      <w:rFonts w:ascii="細明體" w:eastAsia="細明體" w:hAnsi="細明體" w:cs="Courier New"/>
      <w:kern w:val="3"/>
      <w:sz w:val="24"/>
      <w:szCs w:val="24"/>
    </w:rPr>
  </w:style>
  <w:style w:type="character" w:styleId="af">
    <w:name w:val="Hyperlink"/>
    <w:rPr>
      <w:color w:val="0000FF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numbering" w:customStyle="1" w:styleId="LFO2">
    <w:name w:val="LFO2"/>
    <w:basedOn w:val="a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1350</Characters>
  <Application>Microsoft Office Word</Application>
  <DocSecurity>0</DocSecurity>
  <Lines>11</Lines>
  <Paragraphs>3</Paragraphs>
  <ScaleCrop>false</ScaleCrop>
  <Company>tccg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統計資料背景說明</dc:title>
  <dc:subject/>
  <dc:creator>Damita</dc:creator>
  <cp:lastModifiedBy>cws</cp:lastModifiedBy>
  <cp:revision>2</cp:revision>
  <dcterms:created xsi:type="dcterms:W3CDTF">2022-09-15T01:43:00Z</dcterms:created>
  <dcterms:modified xsi:type="dcterms:W3CDTF">2022-09-15T01:43:00Z</dcterms:modified>
</cp:coreProperties>
</file>