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4B23" w:rsidRDefault="00B53619">
      <w:pPr>
        <w:jc w:val="center"/>
        <w:rPr>
          <w:rFonts w:eastAsia="標楷體"/>
          <w:b/>
          <w:sz w:val="32"/>
          <w:szCs w:val="32"/>
        </w:rPr>
      </w:pPr>
      <w:r>
        <w:rPr>
          <w:rFonts w:eastAsia="標楷體"/>
          <w:b/>
          <w:sz w:val="32"/>
          <w:szCs w:val="32"/>
        </w:rPr>
        <w:t>統計資料背景說明</w:t>
      </w:r>
    </w:p>
    <w:p w:rsidR="00234B23" w:rsidRDefault="00B53619">
      <w:pPr>
        <w:spacing w:line="360" w:lineRule="exact"/>
        <w:rPr>
          <w:rFonts w:ascii="標楷體" w:eastAsia="標楷體" w:hAnsi="標楷體"/>
          <w:szCs w:val="24"/>
        </w:rPr>
      </w:pPr>
      <w:r>
        <w:rPr>
          <w:rFonts w:ascii="標楷體" w:eastAsia="標楷體" w:hAnsi="標楷體"/>
          <w:szCs w:val="24"/>
        </w:rPr>
        <w:t>資料種類：農業統計</w:t>
      </w:r>
    </w:p>
    <w:p w:rsidR="00234B23" w:rsidRDefault="00B53619">
      <w:pPr>
        <w:snapToGrid w:val="0"/>
      </w:pPr>
      <w:r>
        <w:rPr>
          <w:rFonts w:ascii="標楷體" w:eastAsia="標楷體" w:hAnsi="標楷體"/>
          <w:szCs w:val="24"/>
        </w:rPr>
        <w:t>資料項目：臺中市新社區</w:t>
      </w:r>
      <w:r>
        <w:rPr>
          <w:rFonts w:eastAsia="標楷體"/>
          <w:szCs w:val="24"/>
        </w:rPr>
        <w:t>有效農機使用證之農機數量</w:t>
      </w:r>
    </w:p>
    <w:p w:rsidR="00234B23" w:rsidRDefault="00B53619">
      <w:pPr>
        <w:snapToGrid w:val="0"/>
      </w:pPr>
      <w:r>
        <w:rPr>
          <w:rFonts w:eastAsia="標楷體"/>
        </w:rPr>
        <w:t>一</w:t>
      </w:r>
      <w:r>
        <w:rPr>
          <w:rFonts w:ascii="標楷體" w:eastAsia="標楷體" w:hAnsi="標楷體"/>
        </w:rPr>
        <w:t>、</w:t>
      </w:r>
      <w:r>
        <w:rPr>
          <w:rFonts w:eastAsia="標楷體"/>
        </w:rPr>
        <w:t>發布及編製機關單位</w:t>
      </w:r>
    </w:p>
    <w:p w:rsidR="00234B23" w:rsidRDefault="00B53619">
      <w:pPr>
        <w:spacing w:line="0" w:lineRule="atLeast"/>
      </w:pPr>
      <w:r>
        <w:rPr>
          <w:rFonts w:eastAsia="標楷體"/>
        </w:rPr>
        <w:t xml:space="preserve">　</w:t>
      </w:r>
      <w:r>
        <w:rPr>
          <w:rFonts w:ascii="標楷體" w:eastAsia="標楷體" w:hAnsi="標楷體"/>
        </w:rPr>
        <w:t>﹡</w:t>
      </w:r>
      <w:r>
        <w:rPr>
          <w:rFonts w:eastAsia="標楷體"/>
        </w:rPr>
        <w:t>發布機關、單位：臺中市</w:t>
      </w:r>
      <w:r>
        <w:rPr>
          <w:rFonts w:ascii="標楷體" w:eastAsia="標楷體" w:hAnsi="標楷體"/>
          <w:szCs w:val="24"/>
        </w:rPr>
        <w:t>新社</w:t>
      </w:r>
      <w:r>
        <w:rPr>
          <w:rFonts w:eastAsia="標楷體"/>
        </w:rPr>
        <w:t>區</w:t>
      </w:r>
      <w:r>
        <w:rPr>
          <w:rFonts w:eastAsia="標楷體"/>
          <w:szCs w:val="24"/>
        </w:rPr>
        <w:t>公所會計室</w:t>
      </w:r>
    </w:p>
    <w:p w:rsidR="00234B23" w:rsidRDefault="00B53619">
      <w:pPr>
        <w:spacing w:line="0" w:lineRule="atLeast"/>
      </w:pPr>
      <w:r>
        <w:rPr>
          <w:rFonts w:eastAsia="標楷體"/>
          <w:szCs w:val="24"/>
        </w:rPr>
        <w:t xml:space="preserve">  </w:t>
      </w:r>
      <w:r>
        <w:rPr>
          <w:rFonts w:ascii="標楷體" w:eastAsia="標楷體" w:hAnsi="標楷體"/>
          <w:szCs w:val="24"/>
        </w:rPr>
        <w:t>﹡</w:t>
      </w:r>
      <w:r>
        <w:rPr>
          <w:rFonts w:eastAsia="標楷體"/>
          <w:szCs w:val="24"/>
        </w:rPr>
        <w:t>編製單位：臺中市</w:t>
      </w:r>
      <w:r>
        <w:rPr>
          <w:rFonts w:ascii="標楷體" w:eastAsia="標楷體" w:hAnsi="標楷體"/>
          <w:szCs w:val="24"/>
        </w:rPr>
        <w:t>新社</w:t>
      </w:r>
      <w:r>
        <w:rPr>
          <w:rFonts w:eastAsia="標楷體"/>
        </w:rPr>
        <w:t>區公所農業及建設課</w:t>
      </w:r>
    </w:p>
    <w:p w:rsidR="00234B23" w:rsidRDefault="00B53619">
      <w:pPr>
        <w:tabs>
          <w:tab w:val="left" w:pos="0"/>
        </w:tabs>
        <w:spacing w:line="400" w:lineRule="exact"/>
        <w:ind w:left="449" w:hanging="509"/>
      </w:pPr>
      <w:r>
        <w:rPr>
          <w:rFonts w:eastAsia="標楷體"/>
        </w:rPr>
        <w:t xml:space="preserve">  </w:t>
      </w:r>
      <w:r>
        <w:rPr>
          <w:rFonts w:eastAsia="標楷體"/>
          <w:szCs w:val="24"/>
        </w:rPr>
        <w:t>＊聯絡電話：</w:t>
      </w:r>
      <w:r>
        <w:rPr>
          <w:rFonts w:eastAsia="標楷體"/>
          <w:szCs w:val="24"/>
        </w:rPr>
        <w:t>04-25811111#229</w:t>
      </w:r>
    </w:p>
    <w:p w:rsidR="00234B23" w:rsidRDefault="00B53619">
      <w:pPr>
        <w:spacing w:line="400" w:lineRule="exact"/>
        <w:ind w:left="454" w:hanging="312"/>
        <w:rPr>
          <w:rFonts w:eastAsia="標楷體"/>
          <w:szCs w:val="24"/>
        </w:rPr>
      </w:pPr>
      <w:r>
        <w:rPr>
          <w:rFonts w:eastAsia="標楷體"/>
          <w:szCs w:val="24"/>
        </w:rPr>
        <w:t>＊傳真：</w:t>
      </w:r>
      <w:r>
        <w:rPr>
          <w:rFonts w:eastAsia="標楷體"/>
          <w:szCs w:val="24"/>
        </w:rPr>
        <w:t>04-25820511</w:t>
      </w:r>
    </w:p>
    <w:p w:rsidR="00234B23" w:rsidRDefault="00B53619">
      <w:pPr>
        <w:spacing w:line="360" w:lineRule="exact"/>
        <w:ind w:firstLine="142"/>
        <w:jc w:val="both"/>
      </w:pPr>
      <w:r>
        <w:rPr>
          <w:rFonts w:eastAsia="標楷體"/>
          <w:szCs w:val="24"/>
        </w:rPr>
        <w:t>＊電子信箱：</w:t>
      </w:r>
      <w:r>
        <w:rPr>
          <w:rFonts w:ascii="Arial" w:hAnsi="Arial" w:cs="Arial"/>
          <w:color w:val="343434"/>
          <w:szCs w:val="24"/>
        </w:rPr>
        <w:t>xinshe42@taichung.gov.tw</w:t>
      </w:r>
    </w:p>
    <w:p w:rsidR="00234B23" w:rsidRDefault="00B53619">
      <w:pPr>
        <w:spacing w:line="0" w:lineRule="atLeast"/>
        <w:rPr>
          <w:rFonts w:ascii="標楷體" w:eastAsia="標楷體" w:hAnsi="標楷體"/>
        </w:rPr>
      </w:pPr>
      <w:r>
        <w:rPr>
          <w:rFonts w:ascii="標楷體" w:eastAsia="標楷體" w:hAnsi="標楷體"/>
        </w:rPr>
        <w:t>二、發布形式</w:t>
      </w:r>
    </w:p>
    <w:p w:rsidR="00234B23" w:rsidRDefault="00B53619">
      <w:pPr>
        <w:spacing w:line="0" w:lineRule="atLeast"/>
        <w:rPr>
          <w:rFonts w:ascii="標楷體" w:eastAsia="標楷體" w:hAnsi="標楷體"/>
        </w:rPr>
      </w:pPr>
      <w:r>
        <w:rPr>
          <w:rFonts w:ascii="標楷體" w:eastAsia="標楷體" w:hAnsi="標楷體"/>
        </w:rPr>
        <w:t xml:space="preserve">  </w:t>
      </w:r>
      <w:r>
        <w:rPr>
          <w:rFonts w:ascii="標楷體" w:eastAsia="標楷體" w:hAnsi="標楷體"/>
        </w:rPr>
        <w:t>﹡口頭：</w:t>
      </w:r>
    </w:p>
    <w:p w:rsidR="00234B23" w:rsidRDefault="00B53619">
      <w:pPr>
        <w:spacing w:line="0" w:lineRule="atLeast"/>
        <w:rPr>
          <w:rFonts w:ascii="標楷體" w:eastAsia="標楷體" w:hAnsi="標楷體"/>
        </w:rPr>
      </w:pPr>
      <w:r>
        <w:rPr>
          <w:rFonts w:ascii="標楷體" w:eastAsia="標楷體" w:hAnsi="標楷體"/>
        </w:rPr>
        <w:t xml:space="preserve">　　（）記者會或說明會</w:t>
      </w:r>
    </w:p>
    <w:p w:rsidR="00234B23" w:rsidRDefault="00B53619">
      <w:pPr>
        <w:spacing w:line="0" w:lineRule="atLeast"/>
        <w:rPr>
          <w:rFonts w:ascii="標楷體" w:eastAsia="標楷體" w:hAnsi="標楷體"/>
        </w:rPr>
      </w:pPr>
      <w:r>
        <w:rPr>
          <w:rFonts w:ascii="標楷體" w:eastAsia="標楷體" w:hAnsi="標楷體"/>
        </w:rPr>
        <w:t xml:space="preserve">  </w:t>
      </w:r>
      <w:r>
        <w:rPr>
          <w:rFonts w:ascii="標楷體" w:eastAsia="標楷體" w:hAnsi="標楷體"/>
        </w:rPr>
        <w:t>﹡書面：</w:t>
      </w:r>
    </w:p>
    <w:p w:rsidR="00234B23" w:rsidRDefault="00B53619">
      <w:pPr>
        <w:spacing w:line="0" w:lineRule="atLeast"/>
        <w:rPr>
          <w:rFonts w:ascii="標楷體" w:eastAsia="標楷體" w:hAnsi="標楷體"/>
        </w:rPr>
      </w:pPr>
      <w:r>
        <w:rPr>
          <w:rFonts w:ascii="標楷體" w:eastAsia="標楷體" w:hAnsi="標楷體"/>
        </w:rPr>
        <w:t xml:space="preserve">　　（）新聞稿</w:t>
      </w:r>
      <w:r>
        <w:rPr>
          <w:rFonts w:ascii="標楷體" w:eastAsia="標楷體" w:hAnsi="標楷體"/>
        </w:rPr>
        <w:t xml:space="preserve"> </w:t>
      </w:r>
      <w:r>
        <w:rPr>
          <w:rFonts w:ascii="標楷體" w:eastAsia="標楷體" w:hAnsi="標楷體"/>
        </w:rPr>
        <w:t>（）報表</w:t>
      </w:r>
      <w:r>
        <w:rPr>
          <w:rFonts w:ascii="標楷體" w:eastAsia="標楷體" w:hAnsi="標楷體"/>
        </w:rPr>
        <w:t xml:space="preserve"> </w:t>
      </w:r>
      <w:r>
        <w:rPr>
          <w:rFonts w:ascii="標楷體" w:eastAsia="標楷體" w:hAnsi="標楷體"/>
        </w:rPr>
        <w:t>（）書刊，刊名：</w:t>
      </w:r>
      <w:r>
        <w:rPr>
          <w:rFonts w:ascii="標楷體" w:eastAsia="標楷體" w:hAnsi="標楷體"/>
        </w:rPr>
        <w:t xml:space="preserve"> </w:t>
      </w:r>
    </w:p>
    <w:p w:rsidR="00234B23" w:rsidRDefault="00B53619">
      <w:pPr>
        <w:spacing w:line="0" w:lineRule="atLeast"/>
        <w:rPr>
          <w:rFonts w:ascii="標楷體" w:eastAsia="標楷體" w:hAnsi="標楷體"/>
        </w:rPr>
      </w:pPr>
      <w:r>
        <w:rPr>
          <w:rFonts w:ascii="標楷體" w:eastAsia="標楷體" w:hAnsi="標楷體"/>
        </w:rPr>
        <w:t xml:space="preserve">  </w:t>
      </w:r>
      <w:r>
        <w:rPr>
          <w:rFonts w:ascii="標楷體" w:eastAsia="標楷體" w:hAnsi="標楷體"/>
        </w:rPr>
        <w:t>﹡電子媒體：</w:t>
      </w:r>
    </w:p>
    <w:p w:rsidR="00234B23" w:rsidRDefault="00B53619">
      <w:pPr>
        <w:spacing w:line="0" w:lineRule="atLeast"/>
      </w:pPr>
      <w:r>
        <w:rPr>
          <w:rFonts w:ascii="標楷體" w:eastAsia="標楷體" w:hAnsi="標楷體"/>
        </w:rPr>
        <w:t xml:space="preserve">　　（）線上書刊及資料庫，網址：</w:t>
      </w:r>
      <w:r>
        <w:rPr>
          <w:rFonts w:ascii="標楷體" w:eastAsia="標楷體" w:hAnsi="標楷體"/>
          <w:szCs w:val="24"/>
        </w:rPr>
        <w:t xml:space="preserve">     </w:t>
      </w:r>
    </w:p>
    <w:p w:rsidR="00234B23" w:rsidRDefault="00B53619">
      <w:pPr>
        <w:spacing w:line="0" w:lineRule="atLeast"/>
      </w:pPr>
      <w:r>
        <w:rPr>
          <w:rFonts w:ascii="標楷體" w:eastAsia="標楷體" w:hAnsi="標楷體"/>
        </w:rPr>
        <w:t xml:space="preserve">    </w:t>
      </w:r>
      <w:r>
        <w:rPr>
          <w:rFonts w:ascii="標楷體" w:eastAsia="標楷體" w:hAnsi="標楷體"/>
        </w:rPr>
        <w:t>（）磁片</w:t>
      </w:r>
      <w:r>
        <w:rPr>
          <w:rFonts w:ascii="標楷體" w:eastAsia="標楷體" w:hAnsi="標楷體"/>
        </w:rPr>
        <w:t xml:space="preserve">    </w:t>
      </w:r>
      <w:r>
        <w:rPr>
          <w:rFonts w:ascii="標楷體" w:eastAsia="標楷體" w:hAnsi="標楷體"/>
        </w:rPr>
        <w:t>（）光碟片</w:t>
      </w:r>
      <w:r>
        <w:rPr>
          <w:rFonts w:ascii="標楷體" w:eastAsia="標楷體" w:hAnsi="標楷體"/>
        </w:rPr>
        <w:t xml:space="preserve">  </w:t>
      </w:r>
      <w:r>
        <w:rPr>
          <w:rFonts w:ascii="標楷體" w:eastAsia="標楷體" w:hAnsi="標楷體"/>
        </w:rPr>
        <w:t>（</w:t>
      </w:r>
      <w:r>
        <w:rPr>
          <w:rFonts w:ascii="Wingdings 2" w:eastAsia="Wingdings 2" w:hAnsi="Wingdings 2" w:cs="Wingdings 2"/>
        </w:rPr>
        <w:t></w:t>
      </w:r>
      <w:r>
        <w:rPr>
          <w:rFonts w:ascii="標楷體" w:eastAsia="標楷體" w:hAnsi="標楷體"/>
        </w:rPr>
        <w:t>）其他</w:t>
      </w:r>
      <w:r>
        <w:rPr>
          <w:rFonts w:ascii="標楷體" w:eastAsia="標楷體" w:hAnsi="標楷體"/>
        </w:rPr>
        <w:t>(</w:t>
      </w:r>
      <w:r>
        <w:rPr>
          <w:rFonts w:ascii="標楷體" w:eastAsia="標楷體" w:hAnsi="標楷體"/>
        </w:rPr>
        <w:t>報表</w:t>
      </w:r>
      <w:r>
        <w:rPr>
          <w:rFonts w:ascii="標楷體" w:eastAsia="標楷體" w:hAnsi="標楷體"/>
        </w:rPr>
        <w:t>)</w:t>
      </w:r>
    </w:p>
    <w:p w:rsidR="00234B23" w:rsidRDefault="00B53619">
      <w:pPr>
        <w:rPr>
          <w:rFonts w:ascii="標楷體" w:eastAsia="標楷體" w:hAnsi="標楷體"/>
        </w:rPr>
      </w:pPr>
      <w:r>
        <w:rPr>
          <w:rFonts w:ascii="標楷體" w:eastAsia="標楷體" w:hAnsi="標楷體"/>
        </w:rPr>
        <w:t>三、資料範圍、週期及時效</w:t>
      </w:r>
    </w:p>
    <w:p w:rsidR="00234B23" w:rsidRDefault="00B53619">
      <w:r>
        <w:rPr>
          <w:rFonts w:ascii="標楷體" w:eastAsia="標楷體" w:hAnsi="標楷體"/>
        </w:rPr>
        <w:t xml:space="preserve">  </w:t>
      </w:r>
      <w:r>
        <w:rPr>
          <w:rFonts w:ascii="標楷體" w:eastAsia="標楷體" w:hAnsi="標楷體"/>
        </w:rPr>
        <w:t>﹡統計地區範圍及對象：</w:t>
      </w:r>
      <w:r>
        <w:rPr>
          <w:rFonts w:ascii="標楷體" w:eastAsia="標楷體" w:hAnsi="標楷體"/>
          <w:szCs w:val="24"/>
        </w:rPr>
        <w:t>凡本區內現有具有動力裝備之各式農機，均為統計</w:t>
      </w:r>
      <w:r>
        <w:rPr>
          <w:rFonts w:ascii="標楷體" w:eastAsia="標楷體" w:hAnsi="標楷體"/>
          <w:szCs w:val="24"/>
        </w:rPr>
        <w:br/>
      </w:r>
      <w:r>
        <w:rPr>
          <w:rFonts w:ascii="標楷體" w:eastAsia="標楷體" w:hAnsi="標楷體"/>
          <w:szCs w:val="24"/>
        </w:rPr>
        <w:t xml:space="preserve">    </w:t>
      </w:r>
      <w:r>
        <w:rPr>
          <w:rFonts w:ascii="標楷體" w:eastAsia="標楷體" w:hAnsi="標楷體"/>
          <w:szCs w:val="24"/>
        </w:rPr>
        <w:t>對象。</w:t>
      </w:r>
      <w:r>
        <w:rPr>
          <w:rFonts w:ascii="標楷體" w:eastAsia="標楷體" w:hAnsi="標楷體"/>
          <w:szCs w:val="24"/>
        </w:rPr>
        <w:t xml:space="preserve"> </w:t>
      </w:r>
    </w:p>
    <w:p w:rsidR="00234B23" w:rsidRDefault="00B53619">
      <w:pPr>
        <w:spacing w:line="0" w:lineRule="atLeast"/>
        <w:rPr>
          <w:rFonts w:ascii="標楷體" w:eastAsia="標楷體" w:hAnsi="標楷體"/>
        </w:rPr>
      </w:pPr>
      <w:r>
        <w:rPr>
          <w:rFonts w:ascii="標楷體" w:eastAsia="標楷體" w:hAnsi="標楷體"/>
        </w:rPr>
        <w:t xml:space="preserve">  </w:t>
      </w:r>
      <w:r>
        <w:rPr>
          <w:rFonts w:ascii="標楷體" w:eastAsia="標楷體" w:hAnsi="標楷體"/>
        </w:rPr>
        <w:t>﹡統計標準時間：以每年</w:t>
      </w:r>
      <w:r>
        <w:rPr>
          <w:rFonts w:ascii="標楷體" w:eastAsia="標楷體" w:hAnsi="標楷體"/>
        </w:rPr>
        <w:t>12</w:t>
      </w:r>
      <w:r>
        <w:rPr>
          <w:rFonts w:ascii="標楷體" w:eastAsia="標楷體" w:hAnsi="標楷體"/>
        </w:rPr>
        <w:t>月底之事實為準。</w:t>
      </w:r>
    </w:p>
    <w:p w:rsidR="00234B23" w:rsidRDefault="00B53619">
      <w:pPr>
        <w:spacing w:line="0" w:lineRule="atLeast"/>
        <w:rPr>
          <w:rFonts w:ascii="標楷體" w:eastAsia="標楷體" w:hAnsi="標楷體"/>
        </w:rPr>
      </w:pPr>
      <w:r>
        <w:rPr>
          <w:rFonts w:ascii="標楷體" w:eastAsia="標楷體" w:hAnsi="標楷體"/>
        </w:rPr>
        <w:t xml:space="preserve">  </w:t>
      </w:r>
      <w:r>
        <w:rPr>
          <w:rFonts w:ascii="標楷體" w:eastAsia="標楷體" w:hAnsi="標楷體"/>
        </w:rPr>
        <w:t>﹡統計項目定義：</w:t>
      </w:r>
    </w:p>
    <w:p w:rsidR="00234B23" w:rsidRDefault="00B53619">
      <w:pPr>
        <w:spacing w:line="440" w:lineRule="exact"/>
        <w:ind w:left="840" w:hanging="360"/>
        <w:rPr>
          <w:rFonts w:eastAsia="標楷體"/>
          <w:szCs w:val="24"/>
        </w:rPr>
      </w:pPr>
      <w:r>
        <w:rPr>
          <w:rFonts w:eastAsia="標楷體"/>
          <w:szCs w:val="24"/>
        </w:rPr>
        <w:t>(</w:t>
      </w:r>
      <w:r>
        <w:rPr>
          <w:rFonts w:eastAsia="標楷體"/>
          <w:szCs w:val="24"/>
        </w:rPr>
        <w:t>一</w:t>
      </w:r>
      <w:r>
        <w:rPr>
          <w:rFonts w:eastAsia="標楷體"/>
          <w:szCs w:val="24"/>
        </w:rPr>
        <w:t>)</w:t>
      </w:r>
      <w:r>
        <w:rPr>
          <w:rFonts w:eastAsia="標楷體"/>
          <w:szCs w:val="24"/>
        </w:rPr>
        <w:t>耕耘機：俗稱「鐵牛」，係藉動力碎土、鬆土、平土等耕耘農地之機器，其馬力較曳引機小許多。</w:t>
      </w:r>
    </w:p>
    <w:p w:rsidR="00234B23" w:rsidRDefault="00B53619">
      <w:pPr>
        <w:spacing w:line="440" w:lineRule="exact"/>
        <w:ind w:left="840" w:hanging="360"/>
        <w:rPr>
          <w:rFonts w:eastAsia="標楷體"/>
          <w:szCs w:val="24"/>
        </w:rPr>
      </w:pPr>
      <w:r>
        <w:rPr>
          <w:rFonts w:eastAsia="標楷體"/>
          <w:szCs w:val="24"/>
        </w:rPr>
        <w:t>(</w:t>
      </w:r>
      <w:r>
        <w:rPr>
          <w:rFonts w:eastAsia="標楷體"/>
          <w:szCs w:val="24"/>
        </w:rPr>
        <w:t>二</w:t>
      </w:r>
      <w:r>
        <w:rPr>
          <w:rFonts w:eastAsia="標楷體"/>
          <w:szCs w:val="24"/>
        </w:rPr>
        <w:t>)</w:t>
      </w:r>
      <w:r>
        <w:rPr>
          <w:rFonts w:eastAsia="標楷體"/>
          <w:szCs w:val="24"/>
        </w:rPr>
        <w:t>曳引機：有動力引擎，可拖拉機件，附掛犁、耙、中耕器等用以犁田整地、播種、施肥等之機器。</w:t>
      </w:r>
    </w:p>
    <w:p w:rsidR="00234B23" w:rsidRDefault="00B53619">
      <w:pPr>
        <w:spacing w:line="440" w:lineRule="exact"/>
        <w:ind w:left="840" w:hanging="360"/>
        <w:rPr>
          <w:rFonts w:eastAsia="標楷體"/>
          <w:szCs w:val="24"/>
        </w:rPr>
      </w:pPr>
      <w:r>
        <w:rPr>
          <w:rFonts w:eastAsia="標楷體"/>
          <w:szCs w:val="24"/>
        </w:rPr>
        <w:t>(</w:t>
      </w:r>
      <w:r>
        <w:rPr>
          <w:rFonts w:eastAsia="標楷體"/>
          <w:szCs w:val="24"/>
        </w:rPr>
        <w:t>三</w:t>
      </w:r>
      <w:r>
        <w:rPr>
          <w:rFonts w:eastAsia="標楷體"/>
          <w:szCs w:val="24"/>
        </w:rPr>
        <w:t>)</w:t>
      </w:r>
      <w:r>
        <w:rPr>
          <w:rFonts w:eastAsia="標楷體"/>
          <w:szCs w:val="24"/>
        </w:rPr>
        <w:t>動力中耕管理機：</w:t>
      </w:r>
      <w:r>
        <w:rPr>
          <w:rFonts w:eastAsia="標楷體"/>
          <w:szCs w:val="24"/>
        </w:rPr>
        <w:t>有動力裝備，用於作物成長階段之除草、施肥、培土作畦等，且把手可上下及迴旋移動之綜合性管理機器。</w:t>
      </w:r>
    </w:p>
    <w:p w:rsidR="00234B23" w:rsidRDefault="00B53619">
      <w:pPr>
        <w:spacing w:line="440" w:lineRule="exact"/>
        <w:ind w:left="840" w:hanging="360"/>
        <w:rPr>
          <w:rFonts w:eastAsia="標楷體"/>
          <w:szCs w:val="24"/>
        </w:rPr>
      </w:pPr>
      <w:r>
        <w:rPr>
          <w:rFonts w:eastAsia="標楷體"/>
          <w:szCs w:val="24"/>
        </w:rPr>
        <w:t>(</w:t>
      </w:r>
      <w:r>
        <w:rPr>
          <w:rFonts w:eastAsia="標楷體"/>
          <w:szCs w:val="24"/>
        </w:rPr>
        <w:t>四</w:t>
      </w:r>
      <w:r>
        <w:rPr>
          <w:rFonts w:eastAsia="標楷體"/>
          <w:szCs w:val="24"/>
        </w:rPr>
        <w:t>)</w:t>
      </w:r>
      <w:r>
        <w:rPr>
          <w:rFonts w:eastAsia="標楷體"/>
          <w:szCs w:val="24"/>
        </w:rPr>
        <w:t>動力割草機：有動力裝備，專用於割除雜草之機器。</w:t>
      </w:r>
    </w:p>
    <w:p w:rsidR="00234B23" w:rsidRDefault="00B53619">
      <w:pPr>
        <w:spacing w:line="440" w:lineRule="exact"/>
        <w:ind w:left="840" w:hanging="360"/>
        <w:rPr>
          <w:rFonts w:eastAsia="標楷體"/>
          <w:szCs w:val="24"/>
        </w:rPr>
      </w:pPr>
      <w:r>
        <w:rPr>
          <w:rFonts w:eastAsia="標楷體"/>
          <w:szCs w:val="24"/>
        </w:rPr>
        <w:t>(</w:t>
      </w:r>
      <w:r>
        <w:rPr>
          <w:rFonts w:eastAsia="標楷體"/>
          <w:szCs w:val="24"/>
        </w:rPr>
        <w:t>五</w:t>
      </w:r>
      <w:r>
        <w:rPr>
          <w:rFonts w:eastAsia="標楷體"/>
          <w:szCs w:val="24"/>
        </w:rPr>
        <w:t>)</w:t>
      </w:r>
      <w:r>
        <w:rPr>
          <w:rFonts w:eastAsia="標楷體"/>
          <w:szCs w:val="24"/>
        </w:rPr>
        <w:t>背負式（動力噴霧機、施肥機）：有動力裝備，可噴灑霧（粉）狀農藥、肥料，以防治病蟲害、除雜草及施肥之機器，其機種為背負式。</w:t>
      </w:r>
      <w:r>
        <w:rPr>
          <w:rFonts w:eastAsia="標楷體"/>
          <w:szCs w:val="24"/>
        </w:rPr>
        <w:t xml:space="preserve"> </w:t>
      </w:r>
    </w:p>
    <w:p w:rsidR="00234B23" w:rsidRDefault="00B53619">
      <w:pPr>
        <w:spacing w:line="440" w:lineRule="exact"/>
        <w:ind w:left="840" w:hanging="360"/>
        <w:rPr>
          <w:rFonts w:eastAsia="標楷體"/>
          <w:szCs w:val="24"/>
        </w:rPr>
      </w:pPr>
      <w:r>
        <w:rPr>
          <w:rFonts w:eastAsia="標楷體"/>
          <w:szCs w:val="24"/>
        </w:rPr>
        <w:t>(</w:t>
      </w:r>
      <w:r>
        <w:rPr>
          <w:rFonts w:eastAsia="標楷體"/>
          <w:szCs w:val="24"/>
        </w:rPr>
        <w:t>六</w:t>
      </w:r>
      <w:r>
        <w:rPr>
          <w:rFonts w:eastAsia="標楷體"/>
          <w:szCs w:val="24"/>
        </w:rPr>
        <w:t>)</w:t>
      </w:r>
      <w:r>
        <w:rPr>
          <w:rFonts w:eastAsia="標楷體"/>
          <w:szCs w:val="24"/>
        </w:rPr>
        <w:t>定置式動力噴霧機：有動力裝備，可噴灑霧狀農藥，以防治病蟲害及除雜草之機器，其機種為定置式及廣距式。</w:t>
      </w:r>
    </w:p>
    <w:p w:rsidR="00234B23" w:rsidRDefault="00B53619">
      <w:pPr>
        <w:spacing w:line="440" w:lineRule="exact"/>
        <w:ind w:left="840" w:hanging="360"/>
        <w:rPr>
          <w:rFonts w:eastAsia="標楷體"/>
          <w:szCs w:val="24"/>
        </w:rPr>
      </w:pPr>
      <w:r>
        <w:rPr>
          <w:rFonts w:eastAsia="標楷體"/>
          <w:szCs w:val="24"/>
        </w:rPr>
        <w:t>(</w:t>
      </w:r>
      <w:r>
        <w:rPr>
          <w:rFonts w:eastAsia="標楷體"/>
          <w:szCs w:val="24"/>
        </w:rPr>
        <w:t>七</w:t>
      </w:r>
      <w:r>
        <w:rPr>
          <w:rFonts w:eastAsia="標楷體"/>
          <w:szCs w:val="24"/>
        </w:rPr>
        <w:t>)</w:t>
      </w:r>
      <w:r>
        <w:rPr>
          <w:rFonts w:eastAsia="標楷體"/>
          <w:szCs w:val="24"/>
        </w:rPr>
        <w:t>抽水機：為經營農業之目的，所設置之抽水馬達及相關設備。</w:t>
      </w:r>
    </w:p>
    <w:p w:rsidR="00234B23" w:rsidRDefault="00B53619">
      <w:pPr>
        <w:spacing w:line="440" w:lineRule="exact"/>
        <w:ind w:left="840" w:hanging="360"/>
        <w:rPr>
          <w:rFonts w:eastAsia="標楷體"/>
          <w:szCs w:val="24"/>
        </w:rPr>
      </w:pPr>
      <w:r>
        <w:rPr>
          <w:rFonts w:eastAsia="標楷體"/>
          <w:szCs w:val="24"/>
        </w:rPr>
        <w:t>(</w:t>
      </w:r>
      <w:r>
        <w:rPr>
          <w:rFonts w:eastAsia="標楷體"/>
          <w:szCs w:val="24"/>
        </w:rPr>
        <w:t>八</w:t>
      </w:r>
      <w:r>
        <w:rPr>
          <w:rFonts w:eastAsia="標楷體"/>
          <w:szCs w:val="24"/>
        </w:rPr>
        <w:t>)</w:t>
      </w:r>
      <w:r>
        <w:rPr>
          <w:rFonts w:eastAsia="標楷體"/>
          <w:szCs w:val="24"/>
        </w:rPr>
        <w:t>水稻聯合收穫機：有動力裝備，可作稻穀之收割、脫穀、篩選及裝</w:t>
      </w:r>
      <w:r>
        <w:rPr>
          <w:rFonts w:eastAsia="標楷體"/>
          <w:szCs w:val="24"/>
        </w:rPr>
        <w:t>袋等一貫作業之機器。</w:t>
      </w:r>
    </w:p>
    <w:p w:rsidR="00234B23" w:rsidRDefault="00B53619">
      <w:pPr>
        <w:spacing w:line="440" w:lineRule="exact"/>
        <w:ind w:left="840" w:hanging="360"/>
        <w:rPr>
          <w:rFonts w:eastAsia="標楷體"/>
          <w:szCs w:val="24"/>
        </w:rPr>
      </w:pPr>
      <w:r>
        <w:rPr>
          <w:rFonts w:eastAsia="標楷體"/>
          <w:szCs w:val="24"/>
        </w:rPr>
        <w:t>(</w:t>
      </w:r>
      <w:r>
        <w:rPr>
          <w:rFonts w:eastAsia="標楷體"/>
          <w:szCs w:val="24"/>
        </w:rPr>
        <w:t>九</w:t>
      </w:r>
      <w:r>
        <w:rPr>
          <w:rFonts w:eastAsia="標楷體"/>
          <w:szCs w:val="24"/>
        </w:rPr>
        <w:t>)</w:t>
      </w:r>
      <w:r>
        <w:rPr>
          <w:rFonts w:eastAsia="標楷體"/>
          <w:szCs w:val="24"/>
        </w:rPr>
        <w:t>乾燥機：將收穫之穀類或其他作物，加速脫水以便儲存之機器，如稻穀乾燥機、玉米乾燥機、菸葉乾燥設備（一套機件算一臺）等。</w:t>
      </w:r>
    </w:p>
    <w:p w:rsidR="00234B23" w:rsidRDefault="00B53619">
      <w:pPr>
        <w:spacing w:line="440" w:lineRule="exact"/>
        <w:ind w:left="840" w:hanging="360"/>
        <w:rPr>
          <w:rFonts w:eastAsia="標楷體"/>
          <w:szCs w:val="24"/>
        </w:rPr>
      </w:pPr>
      <w:r>
        <w:rPr>
          <w:rFonts w:eastAsia="標楷體"/>
          <w:szCs w:val="24"/>
        </w:rPr>
        <w:lastRenderedPageBreak/>
        <w:t>(</w:t>
      </w:r>
      <w:r>
        <w:rPr>
          <w:rFonts w:eastAsia="標楷體"/>
          <w:szCs w:val="24"/>
        </w:rPr>
        <w:t>十</w:t>
      </w:r>
      <w:r>
        <w:rPr>
          <w:rFonts w:eastAsia="標楷體"/>
          <w:szCs w:val="24"/>
        </w:rPr>
        <w:t>)</w:t>
      </w:r>
      <w:r>
        <w:rPr>
          <w:rFonts w:eastAsia="標楷體"/>
          <w:szCs w:val="24"/>
        </w:rPr>
        <w:t>蔬果分級機：將蔬菜、水果或其他農產品，依大小或重量予以分類選別之機器。</w:t>
      </w:r>
    </w:p>
    <w:p w:rsidR="00234B23" w:rsidRDefault="00B53619">
      <w:pPr>
        <w:spacing w:line="440" w:lineRule="exact"/>
        <w:ind w:left="840" w:hanging="360"/>
        <w:rPr>
          <w:rFonts w:eastAsia="標楷體"/>
          <w:szCs w:val="24"/>
        </w:rPr>
      </w:pPr>
      <w:r>
        <w:rPr>
          <w:rFonts w:eastAsia="標楷體"/>
          <w:szCs w:val="24"/>
        </w:rPr>
        <w:t>(</w:t>
      </w:r>
      <w:r>
        <w:rPr>
          <w:rFonts w:eastAsia="標楷體"/>
          <w:szCs w:val="24"/>
        </w:rPr>
        <w:t>十一</w:t>
      </w:r>
      <w:r>
        <w:rPr>
          <w:rFonts w:eastAsia="標楷體"/>
          <w:szCs w:val="24"/>
        </w:rPr>
        <w:t>)</w:t>
      </w:r>
      <w:r>
        <w:rPr>
          <w:rFonts w:eastAsia="標楷體"/>
          <w:szCs w:val="24"/>
        </w:rPr>
        <w:t>樹枝打</w:t>
      </w:r>
      <w:r>
        <w:rPr>
          <w:rFonts w:eastAsia="標楷體"/>
          <w:szCs w:val="24"/>
        </w:rPr>
        <w:t>(</w:t>
      </w:r>
      <w:r>
        <w:rPr>
          <w:rFonts w:eastAsia="標楷體"/>
          <w:szCs w:val="24"/>
        </w:rPr>
        <w:t>粉</w:t>
      </w:r>
      <w:r>
        <w:rPr>
          <w:rFonts w:eastAsia="標楷體"/>
          <w:szCs w:val="24"/>
        </w:rPr>
        <w:t>)</w:t>
      </w:r>
      <w:r>
        <w:rPr>
          <w:rFonts w:eastAsia="標楷體"/>
          <w:szCs w:val="24"/>
        </w:rPr>
        <w:t>碎機</w:t>
      </w:r>
      <w:r>
        <w:rPr>
          <w:rFonts w:eastAsia="標楷體"/>
          <w:szCs w:val="24"/>
        </w:rPr>
        <w:t>:</w:t>
      </w:r>
      <w:r>
        <w:rPr>
          <w:rFonts w:eastAsia="標楷體"/>
          <w:szCs w:val="24"/>
        </w:rPr>
        <w:t>專用於打碎或粉碎樹枝之機器。</w:t>
      </w:r>
    </w:p>
    <w:p w:rsidR="00234B23" w:rsidRDefault="00B53619">
      <w:pPr>
        <w:spacing w:line="440" w:lineRule="exact"/>
        <w:ind w:left="1200" w:hanging="720"/>
        <w:rPr>
          <w:rFonts w:eastAsia="標楷體"/>
          <w:szCs w:val="24"/>
        </w:rPr>
      </w:pPr>
      <w:r>
        <w:rPr>
          <w:rFonts w:eastAsia="標楷體"/>
          <w:szCs w:val="24"/>
        </w:rPr>
        <w:t>(</w:t>
      </w:r>
      <w:r>
        <w:rPr>
          <w:rFonts w:eastAsia="標楷體"/>
          <w:szCs w:val="24"/>
        </w:rPr>
        <w:t>十二</w:t>
      </w:r>
      <w:r>
        <w:rPr>
          <w:rFonts w:eastAsia="標楷體"/>
          <w:szCs w:val="24"/>
        </w:rPr>
        <w:t>)</w:t>
      </w:r>
      <w:r>
        <w:rPr>
          <w:rFonts w:eastAsia="標楷體"/>
          <w:szCs w:val="24"/>
        </w:rPr>
        <w:t>農地動力搬運車：有動力引擎裝置，可搬運農畜產品之農業用車輛。</w:t>
      </w:r>
    </w:p>
    <w:p w:rsidR="00234B23" w:rsidRDefault="00B53619">
      <w:pPr>
        <w:spacing w:line="440" w:lineRule="exact"/>
        <w:ind w:left="1200" w:hanging="720"/>
        <w:rPr>
          <w:rFonts w:eastAsia="標楷體"/>
          <w:szCs w:val="24"/>
        </w:rPr>
      </w:pPr>
      <w:r>
        <w:rPr>
          <w:rFonts w:eastAsia="標楷體"/>
          <w:szCs w:val="24"/>
        </w:rPr>
        <w:t>(</w:t>
      </w:r>
      <w:r>
        <w:rPr>
          <w:rFonts w:eastAsia="標楷體"/>
          <w:szCs w:val="24"/>
        </w:rPr>
        <w:t>十三</w:t>
      </w:r>
      <w:r>
        <w:rPr>
          <w:rFonts w:eastAsia="標楷體"/>
          <w:szCs w:val="24"/>
        </w:rPr>
        <w:t>)</w:t>
      </w:r>
      <w:r>
        <w:rPr>
          <w:rFonts w:eastAsia="標楷體"/>
          <w:szCs w:val="24"/>
        </w:rPr>
        <w:t>動力剪枝機：有動力裝備，專用於修剪枝條之機器。</w:t>
      </w:r>
    </w:p>
    <w:p w:rsidR="00234B23" w:rsidRDefault="00B53619">
      <w:pPr>
        <w:spacing w:line="440" w:lineRule="exact"/>
        <w:ind w:left="1080" w:hanging="600"/>
        <w:rPr>
          <w:rFonts w:eastAsia="標楷體"/>
          <w:szCs w:val="24"/>
        </w:rPr>
      </w:pPr>
      <w:r>
        <w:rPr>
          <w:rFonts w:eastAsia="標楷體"/>
          <w:szCs w:val="24"/>
        </w:rPr>
        <w:t>(</w:t>
      </w:r>
      <w:r>
        <w:rPr>
          <w:rFonts w:eastAsia="標楷體"/>
          <w:szCs w:val="24"/>
        </w:rPr>
        <w:t>十四</w:t>
      </w:r>
      <w:r>
        <w:rPr>
          <w:rFonts w:eastAsia="標楷體"/>
          <w:szCs w:val="24"/>
        </w:rPr>
        <w:t>)</w:t>
      </w:r>
      <w:r>
        <w:rPr>
          <w:rFonts w:eastAsia="標楷體"/>
          <w:szCs w:val="24"/>
        </w:rPr>
        <w:t>自走式噴霧車：有動力裝備，可噴灑霧狀農藥，以防治病蟲害及除雜草之車輛，其機種為行走式。</w:t>
      </w:r>
    </w:p>
    <w:p w:rsidR="00234B23" w:rsidRDefault="00B53619">
      <w:pPr>
        <w:spacing w:line="440" w:lineRule="exact"/>
        <w:ind w:left="1080" w:hanging="600"/>
        <w:rPr>
          <w:rFonts w:eastAsia="標楷體"/>
          <w:szCs w:val="24"/>
        </w:rPr>
      </w:pPr>
      <w:r>
        <w:rPr>
          <w:rFonts w:eastAsia="標楷體"/>
          <w:szCs w:val="24"/>
        </w:rPr>
        <w:t>(</w:t>
      </w:r>
      <w:r>
        <w:rPr>
          <w:rFonts w:eastAsia="標楷體"/>
          <w:szCs w:val="24"/>
        </w:rPr>
        <w:t>十五</w:t>
      </w:r>
      <w:r>
        <w:rPr>
          <w:rFonts w:eastAsia="標楷體"/>
          <w:szCs w:val="24"/>
        </w:rPr>
        <w:t>)</w:t>
      </w:r>
      <w:r>
        <w:rPr>
          <w:rFonts w:eastAsia="標楷體"/>
          <w:szCs w:val="24"/>
        </w:rPr>
        <w:t>插秧機：有動力裝備，可自動將培育好之秧苗，按一定距離插植於田間之機器。</w:t>
      </w:r>
    </w:p>
    <w:p w:rsidR="00234B23" w:rsidRDefault="00B53619">
      <w:pPr>
        <w:spacing w:line="440" w:lineRule="exact"/>
        <w:ind w:left="1080" w:hanging="600"/>
        <w:rPr>
          <w:rFonts w:eastAsia="標楷體"/>
          <w:szCs w:val="24"/>
        </w:rPr>
      </w:pPr>
      <w:r>
        <w:rPr>
          <w:rFonts w:eastAsia="標楷體"/>
          <w:szCs w:val="24"/>
        </w:rPr>
        <w:t>(</w:t>
      </w:r>
      <w:r>
        <w:rPr>
          <w:rFonts w:eastAsia="標楷體"/>
          <w:szCs w:val="24"/>
        </w:rPr>
        <w:t>十六</w:t>
      </w:r>
      <w:r>
        <w:rPr>
          <w:rFonts w:eastAsia="標楷體"/>
          <w:szCs w:val="24"/>
        </w:rPr>
        <w:t>)</w:t>
      </w:r>
      <w:r>
        <w:rPr>
          <w:rFonts w:eastAsia="標楷體"/>
          <w:szCs w:val="24"/>
        </w:rPr>
        <w:t>雜糧聯合收穫機：有動力裝備，用於雜糧收穫之機器，包括玉米聯合收穫機、高粱聯合收穫機、甘藷收</w:t>
      </w:r>
      <w:r>
        <w:rPr>
          <w:rFonts w:eastAsia="標楷體"/>
          <w:szCs w:val="24"/>
        </w:rPr>
        <w:t xml:space="preserve"> </w:t>
      </w:r>
      <w:r>
        <w:rPr>
          <w:rFonts w:eastAsia="標楷體"/>
          <w:szCs w:val="24"/>
        </w:rPr>
        <w:t>穫機、落花生收穫機、豆類收穫機等。</w:t>
      </w:r>
    </w:p>
    <w:p w:rsidR="00234B23" w:rsidRDefault="00B53619">
      <w:pPr>
        <w:spacing w:line="440" w:lineRule="exact"/>
        <w:ind w:left="1080" w:hanging="600"/>
        <w:rPr>
          <w:rFonts w:eastAsia="標楷體"/>
          <w:szCs w:val="24"/>
        </w:rPr>
      </w:pPr>
      <w:r>
        <w:rPr>
          <w:rFonts w:eastAsia="標楷體"/>
          <w:szCs w:val="24"/>
        </w:rPr>
        <w:t>(</w:t>
      </w:r>
      <w:r>
        <w:rPr>
          <w:rFonts w:eastAsia="標楷體"/>
          <w:szCs w:val="24"/>
        </w:rPr>
        <w:t>十七</w:t>
      </w:r>
      <w:r>
        <w:rPr>
          <w:rFonts w:eastAsia="標楷體"/>
          <w:szCs w:val="24"/>
        </w:rPr>
        <w:t>)</w:t>
      </w:r>
      <w:r>
        <w:rPr>
          <w:rFonts w:eastAsia="標楷體"/>
          <w:szCs w:val="24"/>
        </w:rPr>
        <w:t>動力採茶機：有動力裝備，專用於採收茶葉之機器。</w:t>
      </w:r>
    </w:p>
    <w:p w:rsidR="00234B23" w:rsidRDefault="00B53619">
      <w:pPr>
        <w:spacing w:line="440" w:lineRule="exact"/>
        <w:ind w:left="1080" w:hanging="600"/>
      </w:pPr>
      <w:r>
        <w:rPr>
          <w:rFonts w:eastAsia="標楷體"/>
          <w:szCs w:val="24"/>
        </w:rPr>
        <w:t>(</w:t>
      </w:r>
      <w:r>
        <w:rPr>
          <w:rFonts w:eastAsia="標楷體"/>
          <w:szCs w:val="24"/>
        </w:rPr>
        <w:t>十八</w:t>
      </w:r>
      <w:r>
        <w:rPr>
          <w:rFonts w:eastAsia="標楷體"/>
          <w:szCs w:val="24"/>
        </w:rPr>
        <w:t>)</w:t>
      </w:r>
      <w:r>
        <w:rPr>
          <w:rFonts w:eastAsia="標楷體"/>
          <w:szCs w:val="24"/>
        </w:rPr>
        <w:t>脫殼（粒）機：有動力裝備，用於榖類作物收割後脫殼（粒）之機器，如稻穀脫殼機、玉米脫粒機、高粱脫粒機、花生脫莢機等。</w:t>
      </w:r>
      <w:r>
        <w:rPr>
          <w:rFonts w:ascii="標楷體" w:eastAsia="標楷體" w:hAnsi="標楷體"/>
        </w:rPr>
        <w:t xml:space="preserve">　</w:t>
      </w:r>
    </w:p>
    <w:p w:rsidR="00234B23" w:rsidRDefault="00B53619">
      <w:pPr>
        <w:spacing w:line="440" w:lineRule="exact"/>
        <w:ind w:left="480" w:hanging="480"/>
      </w:pPr>
      <w:r>
        <w:rPr>
          <w:rFonts w:ascii="標楷體" w:eastAsia="標楷體" w:hAnsi="標楷體"/>
        </w:rPr>
        <w:t xml:space="preserve">  </w:t>
      </w:r>
      <w:r>
        <w:rPr>
          <w:rFonts w:ascii="標楷體" w:eastAsia="標楷體" w:hAnsi="標楷體"/>
        </w:rPr>
        <w:t>﹡</w:t>
      </w:r>
      <w:r>
        <w:rPr>
          <w:rFonts w:eastAsia="標楷體"/>
        </w:rPr>
        <w:t>統計單位：臺</w:t>
      </w:r>
      <w:r>
        <w:rPr>
          <w:rFonts w:eastAsia="標楷體"/>
        </w:rPr>
        <w:t>。</w:t>
      </w:r>
    </w:p>
    <w:p w:rsidR="00234B23" w:rsidRDefault="00B53619">
      <w:pPr>
        <w:spacing w:line="0" w:lineRule="atLeast"/>
        <w:ind w:left="480" w:hanging="480"/>
      </w:pPr>
      <w:r>
        <w:rPr>
          <w:rFonts w:eastAsia="標楷體"/>
        </w:rPr>
        <w:t xml:space="preserve">  </w:t>
      </w:r>
      <w:r>
        <w:rPr>
          <w:rFonts w:ascii="標楷體" w:eastAsia="標楷體" w:hAnsi="標楷體"/>
        </w:rPr>
        <w:t>﹡</w:t>
      </w:r>
      <w:r>
        <w:rPr>
          <w:rFonts w:eastAsia="標楷體"/>
        </w:rPr>
        <w:t>統計分類：依農機種類及主要用途、機型等分為耕耘機、曳引機、動力中耕管理機、動力割草機、背負式（動力噴霧機、施肥機）、定置式動力噴霧機、抽水機、水稻聯合收穫機、乾燥機、蔬果分級機、樹枝打</w:t>
      </w:r>
      <w:r>
        <w:rPr>
          <w:rFonts w:eastAsia="標楷體"/>
        </w:rPr>
        <w:t>(</w:t>
      </w:r>
      <w:r>
        <w:rPr>
          <w:rFonts w:eastAsia="標楷體"/>
        </w:rPr>
        <w:t>粉</w:t>
      </w:r>
      <w:r>
        <w:rPr>
          <w:rFonts w:eastAsia="標楷體"/>
        </w:rPr>
        <w:t>)</w:t>
      </w:r>
      <w:r>
        <w:rPr>
          <w:rFonts w:eastAsia="標楷體"/>
        </w:rPr>
        <w:t>碎機、農地動力搬運車、動力剪枝機、自走式噴霧車、插秧機、雜糧聯合收穫機、動力採茶機、脫殼（粒）機、其他農機等。</w:t>
      </w:r>
      <w:r>
        <w:rPr>
          <w:rFonts w:eastAsia="標楷體"/>
        </w:rPr>
        <w:t xml:space="preserve"> </w:t>
      </w:r>
    </w:p>
    <w:p w:rsidR="00234B23" w:rsidRDefault="00B53619">
      <w:pPr>
        <w:spacing w:line="0" w:lineRule="atLeast"/>
      </w:pPr>
      <w:r>
        <w:rPr>
          <w:rFonts w:eastAsia="標楷體"/>
        </w:rPr>
        <w:t xml:space="preserve">  </w:t>
      </w:r>
      <w:r>
        <w:rPr>
          <w:rFonts w:ascii="標楷體" w:eastAsia="標楷體" w:hAnsi="標楷體"/>
        </w:rPr>
        <w:t>﹡</w:t>
      </w:r>
      <w:r>
        <w:rPr>
          <w:rFonts w:eastAsia="標楷體"/>
        </w:rPr>
        <w:t>發布週期</w:t>
      </w:r>
      <w:r>
        <w:rPr>
          <w:rFonts w:ascii="標楷體" w:eastAsia="標楷體" w:hAnsi="標楷體"/>
        </w:rPr>
        <w:t>：年。</w:t>
      </w:r>
    </w:p>
    <w:p w:rsidR="00234B23" w:rsidRDefault="00B53619">
      <w:pPr>
        <w:spacing w:line="0" w:lineRule="atLeast"/>
        <w:rPr>
          <w:rFonts w:ascii="標楷體" w:eastAsia="標楷體" w:hAnsi="標楷體"/>
        </w:rPr>
      </w:pPr>
      <w:r>
        <w:rPr>
          <w:rFonts w:ascii="標楷體" w:eastAsia="標楷體" w:hAnsi="標楷體"/>
        </w:rPr>
        <w:t xml:space="preserve">  </w:t>
      </w:r>
      <w:r>
        <w:rPr>
          <w:rFonts w:ascii="標楷體" w:eastAsia="標楷體" w:hAnsi="標楷體"/>
        </w:rPr>
        <w:t>﹡時效：</w:t>
      </w:r>
      <w:r>
        <w:rPr>
          <w:rFonts w:ascii="標楷體" w:eastAsia="標楷體" w:hAnsi="標楷體"/>
        </w:rPr>
        <w:t>1</w:t>
      </w:r>
      <w:r>
        <w:rPr>
          <w:rFonts w:ascii="標楷體" w:eastAsia="標楷體" w:hAnsi="標楷體"/>
        </w:rPr>
        <w:t>個月。</w:t>
      </w:r>
    </w:p>
    <w:p w:rsidR="00234B23" w:rsidRDefault="00B53619">
      <w:pPr>
        <w:spacing w:line="0" w:lineRule="atLeast"/>
        <w:rPr>
          <w:rFonts w:ascii="標楷體" w:eastAsia="標楷體" w:hAnsi="標楷體"/>
        </w:rPr>
      </w:pPr>
      <w:r>
        <w:rPr>
          <w:rFonts w:ascii="標楷體" w:eastAsia="標楷體" w:hAnsi="標楷體"/>
        </w:rPr>
        <w:t xml:space="preserve">  </w:t>
      </w:r>
      <w:r>
        <w:rPr>
          <w:rFonts w:ascii="標楷體" w:eastAsia="標楷體" w:hAnsi="標楷體"/>
        </w:rPr>
        <w:t>﹡資料變革：無。</w:t>
      </w:r>
    </w:p>
    <w:p w:rsidR="00234B23" w:rsidRDefault="00B53619">
      <w:pPr>
        <w:spacing w:line="0" w:lineRule="atLeast"/>
        <w:rPr>
          <w:rFonts w:ascii="標楷體" w:eastAsia="標楷體" w:hAnsi="標楷體"/>
        </w:rPr>
      </w:pPr>
      <w:r>
        <w:rPr>
          <w:rFonts w:ascii="標楷體" w:eastAsia="標楷體" w:hAnsi="標楷體"/>
        </w:rPr>
        <w:t>四、公開資料發布訊息</w:t>
      </w:r>
    </w:p>
    <w:p w:rsidR="00234B23" w:rsidRDefault="00B53619">
      <w:pPr>
        <w:ind w:left="4394" w:hanging="4394"/>
      </w:pPr>
      <w:r>
        <w:rPr>
          <w:rFonts w:ascii="標楷體" w:eastAsia="標楷體" w:hAnsi="標楷體"/>
        </w:rPr>
        <w:t xml:space="preserve">  </w:t>
      </w:r>
      <w:r>
        <w:rPr>
          <w:rFonts w:ascii="標楷體" w:eastAsia="標楷體" w:hAnsi="標楷體"/>
        </w:rPr>
        <w:t>﹡</w:t>
      </w:r>
      <w:r>
        <w:rPr>
          <w:rFonts w:eastAsia="標楷體"/>
        </w:rPr>
        <w:t>預告發布日期：每年終了</w:t>
      </w:r>
      <w:r>
        <w:rPr>
          <w:rFonts w:eastAsia="標楷體"/>
        </w:rPr>
        <w:t>1</w:t>
      </w:r>
      <w:r>
        <w:rPr>
          <w:rFonts w:eastAsia="標楷體"/>
        </w:rPr>
        <w:t>個月。</w:t>
      </w:r>
      <w:r>
        <w:rPr>
          <w:rFonts w:ascii="標楷體" w:eastAsia="標楷體" w:hAnsi="標楷體"/>
          <w:szCs w:val="24"/>
        </w:rPr>
        <w:t>(</w:t>
      </w:r>
      <w:r>
        <w:rPr>
          <w:rFonts w:ascii="標楷體" w:eastAsia="標楷體" w:hAnsi="標楷體"/>
          <w:szCs w:val="24"/>
        </w:rPr>
        <w:t>原訂預告發布日期如遇例假日或國定假日則</w:t>
      </w:r>
    </w:p>
    <w:p w:rsidR="00234B23" w:rsidRDefault="00B53619">
      <w:pPr>
        <w:ind w:left="4394" w:hanging="2234"/>
      </w:pPr>
      <w:r>
        <w:rPr>
          <w:rFonts w:ascii="標楷體" w:eastAsia="標楷體" w:hAnsi="標楷體"/>
          <w:szCs w:val="24"/>
        </w:rPr>
        <w:t>延至下一個工作日發布</w:t>
      </w:r>
      <w:r>
        <w:rPr>
          <w:rFonts w:ascii="標楷體" w:eastAsia="標楷體" w:hAnsi="標楷體"/>
          <w:szCs w:val="24"/>
        </w:rPr>
        <w:t>)</w:t>
      </w:r>
    </w:p>
    <w:p w:rsidR="00234B23" w:rsidRDefault="00B53619">
      <w:pPr>
        <w:spacing w:line="0" w:lineRule="atLeast"/>
      </w:pPr>
      <w:r>
        <w:rPr>
          <w:rFonts w:ascii="標楷體" w:eastAsia="標楷體" w:hAnsi="標楷體"/>
        </w:rPr>
        <w:t xml:space="preserve">　﹡同步發送單位</w:t>
      </w:r>
      <w:r>
        <w:rPr>
          <w:rFonts w:eastAsia="標楷體"/>
        </w:rPr>
        <w:t>：臺中市政府主計處</w:t>
      </w:r>
      <w:r>
        <w:rPr>
          <w:rFonts w:ascii="標楷體" w:eastAsia="標楷體" w:hAnsi="標楷體"/>
          <w:szCs w:val="24"/>
        </w:rPr>
        <w:t>。</w:t>
      </w:r>
    </w:p>
    <w:p w:rsidR="00234B23" w:rsidRDefault="00B53619">
      <w:pPr>
        <w:spacing w:line="0" w:lineRule="atLeast"/>
        <w:ind w:left="120" w:hanging="120"/>
      </w:pPr>
      <w:r>
        <w:rPr>
          <w:rFonts w:eastAsia="標楷體"/>
        </w:rPr>
        <w:t>五</w:t>
      </w:r>
      <w:r>
        <w:rPr>
          <w:rFonts w:ascii="標楷體" w:eastAsia="標楷體" w:hAnsi="標楷體"/>
        </w:rPr>
        <w:t>、</w:t>
      </w:r>
      <w:r>
        <w:rPr>
          <w:rFonts w:eastAsia="標楷體"/>
        </w:rPr>
        <w:t>資料品質</w:t>
      </w:r>
    </w:p>
    <w:p w:rsidR="00234B23" w:rsidRDefault="00B53619">
      <w:pPr>
        <w:spacing w:line="0" w:lineRule="atLeast"/>
        <w:ind w:left="460" w:hanging="340"/>
        <w:rPr>
          <w:rFonts w:eastAsia="標楷體"/>
        </w:rPr>
      </w:pPr>
      <w:r>
        <w:rPr>
          <w:rFonts w:eastAsia="標楷體"/>
        </w:rPr>
        <w:t xml:space="preserve">  </w:t>
      </w:r>
      <w:r>
        <w:rPr>
          <w:rFonts w:eastAsia="標楷體"/>
        </w:rPr>
        <w:t>﹡統計指標編製方法與資料來源說明：本所農業及建設課依據農業部農糧署農機證照資訊管理系統資料編製。</w:t>
      </w:r>
    </w:p>
    <w:p w:rsidR="00234B23" w:rsidRDefault="00B53619">
      <w:pPr>
        <w:spacing w:line="0" w:lineRule="atLeast"/>
        <w:ind w:left="480" w:hanging="480"/>
      </w:pPr>
      <w:r>
        <w:rPr>
          <w:rFonts w:eastAsia="標楷體"/>
        </w:rPr>
        <w:t xml:space="preserve">　</w:t>
      </w:r>
      <w:r>
        <w:rPr>
          <w:rFonts w:ascii="標楷體" w:eastAsia="標楷體" w:hAnsi="標楷體"/>
        </w:rPr>
        <w:t>﹡</w:t>
      </w:r>
      <w:r>
        <w:rPr>
          <w:rFonts w:eastAsia="標楷體"/>
        </w:rPr>
        <w:t>統計資料交叉查核及確保資料合理性之機制：由電腦系統自動進行加總交叉查核。</w:t>
      </w:r>
    </w:p>
    <w:p w:rsidR="00234B23" w:rsidRDefault="00B53619">
      <w:pPr>
        <w:spacing w:line="0" w:lineRule="atLeast"/>
      </w:pPr>
      <w:r>
        <w:rPr>
          <w:rFonts w:eastAsia="標楷體"/>
        </w:rPr>
        <w:t>六</w:t>
      </w:r>
      <w:r>
        <w:rPr>
          <w:rFonts w:ascii="標楷體" w:eastAsia="標楷體" w:hAnsi="標楷體"/>
        </w:rPr>
        <w:t>、</w:t>
      </w:r>
      <w:r>
        <w:rPr>
          <w:rFonts w:eastAsia="標楷體"/>
        </w:rPr>
        <w:t>須注意及預定改變之事項：</w:t>
      </w:r>
      <w:r>
        <w:rPr>
          <w:rFonts w:ascii="標楷體" w:eastAsia="標楷體" w:hAnsi="標楷體"/>
          <w:szCs w:val="24"/>
        </w:rPr>
        <w:t>表號</w:t>
      </w:r>
      <w:r>
        <w:rPr>
          <w:rFonts w:ascii="標楷體" w:eastAsia="標楷體" w:hAnsi="標楷體"/>
          <w:szCs w:val="24"/>
        </w:rPr>
        <w:t>20329-90-01-3</w:t>
      </w:r>
      <w:r>
        <w:rPr>
          <w:rFonts w:ascii="標楷體" w:eastAsia="標楷體" w:hAnsi="標楷體"/>
          <w:szCs w:val="24"/>
        </w:rPr>
        <w:t>。</w:t>
      </w:r>
    </w:p>
    <w:p w:rsidR="00234B23" w:rsidRDefault="00B53619">
      <w:pPr>
        <w:spacing w:line="0" w:lineRule="atLeast"/>
        <w:jc w:val="both"/>
      </w:pPr>
      <w:r>
        <w:rPr>
          <w:rFonts w:ascii="標楷體" w:eastAsia="標楷體" w:hAnsi="標楷體"/>
          <w:szCs w:val="24"/>
        </w:rPr>
        <w:t>七、其他事項：無。</w:t>
      </w:r>
    </w:p>
    <w:p w:rsidR="00234B23" w:rsidRDefault="00234B23">
      <w:pPr>
        <w:spacing w:line="0" w:lineRule="atLeast"/>
      </w:pPr>
    </w:p>
    <w:sectPr w:rsidR="00234B23">
      <w:pgSz w:w="11906" w:h="16838"/>
      <w:pgMar w:top="1079" w:right="1466" w:bottom="680" w:left="1797"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B53619">
      <w:r>
        <w:separator/>
      </w:r>
    </w:p>
  </w:endnote>
  <w:endnote w:type="continuationSeparator" w:id="0">
    <w:p w:rsidR="00000000" w:rsidRDefault="00B5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B53619">
      <w:r>
        <w:rPr>
          <w:color w:val="000000"/>
        </w:rPr>
        <w:separator/>
      </w:r>
    </w:p>
  </w:footnote>
  <w:footnote w:type="continuationSeparator" w:id="0">
    <w:p w:rsidR="00000000" w:rsidRDefault="00B53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34B23"/>
    <w:rsid w:val="00234B23"/>
    <w:rsid w:val="00B536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E3A85ED-2D37-4EB7-ACD2-D084F77B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Plain Text"/>
    <w:basedOn w:val="a"/>
    <w:rPr>
      <w:rFonts w:ascii="細明體" w:eastAsia="細明體" w:hAnsi="細明體"/>
    </w:rPr>
  </w:style>
  <w:style w:type="paragraph" w:styleId="a5">
    <w:name w:val="header"/>
    <w:basedOn w:val="a"/>
    <w:pPr>
      <w:tabs>
        <w:tab w:val="center" w:pos="4153"/>
        <w:tab w:val="right" w:pos="8306"/>
      </w:tabs>
      <w:snapToGrid w:val="0"/>
    </w:pPr>
    <w:rPr>
      <w:sz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rPr>
  </w:style>
  <w:style w:type="character" w:customStyle="1" w:styleId="a8">
    <w:name w:val="頁尾 字元"/>
    <w:rPr>
      <w:kern w:val="3"/>
    </w:rPr>
  </w:style>
  <w:style w:type="paragraph" w:styleId="a9">
    <w:name w:val="Balloon Text"/>
    <w:basedOn w:val="a"/>
    <w:rPr>
      <w:rFonts w:ascii="Calibri Light" w:hAnsi="Calibri Light"/>
      <w:sz w:val="18"/>
      <w:szCs w:val="18"/>
    </w:rPr>
  </w:style>
  <w:style w:type="character" w:customStyle="1" w:styleId="aa">
    <w:name w:val="註解方塊文字 字元"/>
    <w:rPr>
      <w:rFonts w:ascii="Calibri Light" w:eastAsia="新細明體" w:hAnsi="Calibri Light" w:cs="Times New Roman"/>
      <w:kern w:val="3"/>
      <w:sz w:val="18"/>
      <w:szCs w:val="18"/>
    </w:rPr>
  </w:style>
  <w:style w:type="character" w:styleId="ab">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1370</Characters>
  <Application>Microsoft Office Word</Application>
  <DocSecurity>0</DocSecurity>
  <Lines>11</Lines>
  <Paragraphs>3</Paragraphs>
  <ScaleCrop>false</ScaleCrop>
  <Company>tccg</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臺北市地方總預算歲出用途別月報表統計資料背景說明</dc:title>
  <dc:subject/>
  <dc:creator>user</dc:creator>
  <cp:lastModifiedBy>Jason</cp:lastModifiedBy>
  <cp:revision>2</cp:revision>
  <cp:lastPrinted>2019-11-04T07:16:00Z</cp:lastPrinted>
  <dcterms:created xsi:type="dcterms:W3CDTF">2024-12-11T03:21:00Z</dcterms:created>
  <dcterms:modified xsi:type="dcterms:W3CDTF">2024-12-11T03:21:00Z</dcterms:modified>
</cp:coreProperties>
</file>