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9F0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rFonts w:ascii="標楷體" w:eastAsia="標楷體" w:hAnsi="標楷體" w:cs="Gungsuh"/>
          <w:color w:val="auto"/>
          <w:sz w:val="32"/>
          <w:szCs w:val="32"/>
        </w:rPr>
        <w:t>統計資料背景說明</w:t>
      </w:r>
    </w:p>
    <w:p w14:paraId="72137A98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資料種類：農業統計</w:t>
      </w:r>
    </w:p>
    <w:p w14:paraId="70531453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標楷體"/>
          <w:color w:val="auto"/>
          <w:sz w:val="24"/>
          <w:szCs w:val="24"/>
        </w:rPr>
        <w:t>資料項目：臺中市有效農機使用證之農機數量</w:t>
      </w:r>
    </w:p>
    <w:p w14:paraId="3E3F9EC7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Gungsuh"/>
          <w:color w:val="auto"/>
          <w:sz w:val="24"/>
          <w:szCs w:val="24"/>
        </w:rPr>
        <w:t>一</w:t>
      </w:r>
      <w:r>
        <w:rPr>
          <w:rFonts w:ascii="標楷體" w:eastAsia="標楷體" w:hAnsi="標楷體" w:cs="標楷體"/>
          <w:color w:val="auto"/>
          <w:sz w:val="24"/>
          <w:szCs w:val="24"/>
        </w:rPr>
        <w:t>、</w:t>
      </w:r>
      <w:r>
        <w:rPr>
          <w:rFonts w:ascii="標楷體" w:eastAsia="標楷體" w:hAnsi="標楷體" w:cs="Gungsuh"/>
          <w:color w:val="auto"/>
          <w:sz w:val="24"/>
          <w:szCs w:val="24"/>
        </w:rPr>
        <w:t>發布及編製機關單位</w:t>
      </w:r>
    </w:p>
    <w:p w14:paraId="29BAFE0E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Gungsuh"/>
          <w:color w:val="auto"/>
          <w:sz w:val="24"/>
          <w:szCs w:val="24"/>
        </w:rPr>
        <w:t xml:space="preserve">　</w:t>
      </w: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發布機關</w:t>
      </w:r>
      <w:r>
        <w:rPr>
          <w:rFonts w:ascii="新細明體" w:hAnsi="新細明體" w:cs="Gungsuh"/>
          <w:color w:val="auto"/>
          <w:sz w:val="24"/>
          <w:szCs w:val="24"/>
        </w:rPr>
        <w:t>、</w:t>
      </w:r>
      <w:r>
        <w:rPr>
          <w:rFonts w:ascii="標楷體" w:eastAsia="標楷體" w:hAnsi="標楷體" w:cs="Gungsuh"/>
          <w:color w:val="auto"/>
          <w:sz w:val="24"/>
          <w:szCs w:val="24"/>
        </w:rPr>
        <w:t>單位：臺中市政府農業局會計室</w:t>
      </w:r>
    </w:p>
    <w:p w14:paraId="05B116B0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編製單位：臺中市政府農業局作物生產科</w:t>
      </w:r>
    </w:p>
    <w:p w14:paraId="75C008DE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聯絡電話：</w:t>
      </w:r>
      <w:r>
        <w:rPr>
          <w:rFonts w:ascii="標楷體" w:eastAsia="標楷體" w:hAnsi="標楷體" w:cs="標楷體"/>
          <w:color w:val="auto"/>
          <w:sz w:val="24"/>
          <w:szCs w:val="24"/>
        </w:rPr>
        <w:t>04-22289111</w:t>
      </w:r>
      <w:r>
        <w:rPr>
          <w:rFonts w:ascii="標楷體" w:eastAsia="標楷體" w:hAnsi="標楷體" w:cs="標楷體"/>
          <w:color w:val="auto"/>
          <w:sz w:val="24"/>
          <w:szCs w:val="24"/>
        </w:rPr>
        <w:t>轉</w:t>
      </w:r>
      <w:r>
        <w:rPr>
          <w:rFonts w:ascii="標楷體" w:eastAsia="標楷體" w:hAnsi="標楷體" w:cs="標楷體"/>
          <w:color w:val="auto"/>
          <w:sz w:val="24"/>
          <w:szCs w:val="24"/>
        </w:rPr>
        <w:t>56118</w:t>
      </w:r>
    </w:p>
    <w:p w14:paraId="63212FEC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﹡傳　　真：</w:t>
      </w:r>
      <w:r>
        <w:rPr>
          <w:rFonts w:ascii="標楷體" w:eastAsia="標楷體" w:hAnsi="標楷體" w:cs="標楷體"/>
          <w:color w:val="auto"/>
          <w:sz w:val="24"/>
          <w:szCs w:val="24"/>
        </w:rPr>
        <w:t>04-25261594</w:t>
      </w:r>
    </w:p>
    <w:p w14:paraId="0B385391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﹡電子信箱：</w:t>
      </w:r>
      <w:r>
        <w:rPr>
          <w:rFonts w:ascii="標楷體" w:eastAsia="標楷體" w:hAnsi="標楷體" w:cs="Gungsuh"/>
          <w:color w:val="auto"/>
          <w:sz w:val="24"/>
          <w:szCs w:val="24"/>
        </w:rPr>
        <w:t>shaoyu1104@taichung.gov.tw</w:t>
      </w:r>
    </w:p>
    <w:p w14:paraId="0AEAAB8F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二、發布形式</w:t>
      </w:r>
    </w:p>
    <w:p w14:paraId="67C4442B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﹡口頭：</w:t>
      </w:r>
    </w:p>
    <w:p w14:paraId="6F7820CD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　　（）記者會或說明會</w:t>
      </w:r>
    </w:p>
    <w:p w14:paraId="6E8F49FD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﹡書面：</w:t>
      </w:r>
    </w:p>
    <w:p w14:paraId="0A164FF2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　　（）新聞稿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auto"/>
          <w:sz w:val="24"/>
          <w:szCs w:val="24"/>
        </w:rPr>
        <w:t>（</w:t>
      </w:r>
      <w:r>
        <w:rPr>
          <w:rFonts w:ascii="標楷體" w:eastAsia="標楷體" w:hAnsi="標楷體" w:cs="標楷體"/>
          <w:color w:val="auto"/>
          <w:sz w:val="24"/>
          <w:szCs w:val="24"/>
        </w:rPr>
        <w:t>v</w:t>
      </w:r>
      <w:r>
        <w:rPr>
          <w:rFonts w:ascii="標楷體" w:eastAsia="標楷體" w:hAnsi="標楷體" w:cs="標楷體"/>
          <w:color w:val="auto"/>
          <w:sz w:val="24"/>
          <w:szCs w:val="24"/>
        </w:rPr>
        <w:t>）報表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auto"/>
          <w:sz w:val="24"/>
          <w:szCs w:val="24"/>
        </w:rPr>
        <w:t>（）書刊，刊名：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14:paraId="1505B316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﹡電子媒體：</w:t>
      </w:r>
    </w:p>
    <w:p w14:paraId="16B40100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　　（</w:t>
      </w:r>
      <w:r>
        <w:rPr>
          <w:rFonts w:ascii="標楷體" w:eastAsia="標楷體" w:hAnsi="標楷體" w:cs="標楷體"/>
          <w:color w:val="auto"/>
          <w:sz w:val="24"/>
          <w:szCs w:val="24"/>
        </w:rPr>
        <w:t>v</w:t>
      </w:r>
      <w:r>
        <w:rPr>
          <w:rFonts w:ascii="標楷體" w:eastAsia="標楷體" w:hAnsi="標楷體" w:cs="標楷體"/>
          <w:color w:val="auto"/>
          <w:sz w:val="24"/>
          <w:szCs w:val="24"/>
        </w:rPr>
        <w:t>）線上書刊及資料庫，網址：</w:t>
      </w:r>
      <w:r>
        <w:rPr>
          <w:rFonts w:ascii="標楷體" w:eastAsia="標楷體" w:hAnsi="標楷體" w:cs="標楷體"/>
          <w:color w:val="auto"/>
          <w:sz w:val="24"/>
          <w:szCs w:val="24"/>
        </w:rPr>
        <w:br/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　</w:t>
      </w:r>
      <w:r>
        <w:rPr>
          <w:rFonts w:ascii="標楷體" w:eastAsia="標楷體" w:hAnsi="標楷體" w:cs="標楷體"/>
          <w:color w:val="auto"/>
          <w:sz w:val="18"/>
          <w:szCs w:val="18"/>
        </w:rPr>
        <w:t xml:space="preserve">   </w:t>
      </w:r>
      <w:r>
        <w:rPr>
          <w:rFonts w:ascii="標楷體" w:eastAsia="標楷體" w:hAnsi="標楷體" w:cs="標楷體"/>
          <w:color w:val="auto"/>
          <w:sz w:val="18"/>
          <w:szCs w:val="18"/>
        </w:rPr>
        <w:t xml:space="preserve">　　　</w:t>
      </w:r>
      <w:r>
        <w:rPr>
          <w:rFonts w:ascii="標楷體" w:eastAsia="標楷體" w:hAnsi="標楷體" w:cs="標楷體"/>
          <w:color w:val="auto"/>
          <w:sz w:val="18"/>
          <w:szCs w:val="18"/>
        </w:rPr>
        <w:t>http://govstat.taichung.gov.tw/TCSTAT/Page/kcg01_2.aspx?Mid1=387270000G</w:t>
      </w:r>
    </w:p>
    <w:p w14:paraId="129724B6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auto"/>
          <w:sz w:val="24"/>
          <w:szCs w:val="24"/>
        </w:rPr>
        <w:t>（）磁片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auto"/>
          <w:sz w:val="24"/>
          <w:szCs w:val="24"/>
        </w:rPr>
        <w:t>（）光碟片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（）其他</w:t>
      </w:r>
    </w:p>
    <w:p w14:paraId="4B680713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三、資料範圍、週期及時效</w:t>
      </w:r>
    </w:p>
    <w:p w14:paraId="70E43D24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﹡統計地區範圍及對象：凡本市轄區內現有具有動力裝備之各式農機，均為統計</w:t>
      </w:r>
      <w:r>
        <w:rPr>
          <w:rFonts w:ascii="標楷體" w:eastAsia="標楷體" w:hAnsi="標楷體" w:cs="標楷體"/>
          <w:color w:val="auto"/>
          <w:sz w:val="24"/>
          <w:szCs w:val="24"/>
        </w:rPr>
        <w:br/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</w:t>
      </w:r>
      <w:r>
        <w:rPr>
          <w:rFonts w:ascii="標楷體" w:eastAsia="標楷體" w:hAnsi="標楷體" w:cs="標楷體"/>
          <w:color w:val="auto"/>
          <w:sz w:val="24"/>
          <w:szCs w:val="24"/>
        </w:rPr>
        <w:t>對象。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14:paraId="7F0A74BA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﹡統計標準時間：以每年</w:t>
      </w:r>
      <w:r>
        <w:rPr>
          <w:rFonts w:ascii="標楷體" w:eastAsia="標楷體" w:hAnsi="標楷體" w:cs="標楷體"/>
          <w:color w:val="auto"/>
          <w:sz w:val="24"/>
          <w:szCs w:val="24"/>
        </w:rPr>
        <w:t>12</w:t>
      </w:r>
      <w:r>
        <w:rPr>
          <w:rFonts w:ascii="標楷體" w:eastAsia="標楷體" w:hAnsi="標楷體" w:cs="標楷體"/>
          <w:color w:val="auto"/>
          <w:sz w:val="24"/>
          <w:szCs w:val="24"/>
        </w:rPr>
        <w:t>月</w:t>
      </w:r>
      <w:r>
        <w:rPr>
          <w:rFonts w:ascii="標楷體" w:eastAsia="標楷體" w:hAnsi="標楷體" w:cs="標楷體"/>
          <w:color w:val="auto"/>
          <w:sz w:val="24"/>
          <w:szCs w:val="24"/>
        </w:rPr>
        <w:t>31</w:t>
      </w:r>
      <w:r>
        <w:rPr>
          <w:rFonts w:ascii="標楷體" w:eastAsia="標楷體" w:hAnsi="標楷體" w:cs="標楷體"/>
          <w:color w:val="auto"/>
          <w:sz w:val="24"/>
          <w:szCs w:val="24"/>
        </w:rPr>
        <w:t>日之事實為準。</w:t>
      </w:r>
    </w:p>
    <w:p w14:paraId="4F2CFE14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﹡統計項目定義：</w:t>
      </w:r>
    </w:p>
    <w:p w14:paraId="0C1C1E82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一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耕耘機：俗稱「鐵牛」，係藉動力碎土、鬆土、平土等耕耘農地</w:t>
      </w:r>
      <w:r>
        <w:rPr>
          <w:rFonts w:ascii="標楷體" w:eastAsia="標楷體" w:hAnsi="標楷體" w:cs="Gungsuh"/>
          <w:color w:val="auto"/>
          <w:sz w:val="24"/>
          <w:szCs w:val="24"/>
        </w:rPr>
        <w:t>之機器，其馬力較曳引機小許多。</w:t>
      </w:r>
    </w:p>
    <w:p w14:paraId="2DCB2184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二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曳引機：有動力引擎，可拖拉機件，附掛犁、耙、中耕器等用以犁田整地、播種、施肥等之機器。</w:t>
      </w:r>
    </w:p>
    <w:p w14:paraId="64D198F2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三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動力中耕管理機：有動力裝備，用於作物成長階段之除草、施肥、培土作畦等，且把手可上下及迴旋移動之綜合性管理機器。</w:t>
      </w:r>
    </w:p>
    <w:p w14:paraId="57E56D81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四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動力割草機：有動力裝備，專用於割除雜草之機器。</w:t>
      </w:r>
    </w:p>
    <w:p w14:paraId="17A6D5CB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五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背負式（動力噴霧機、施肥機）：有動力裝備，可噴灑霧（粉）狀農藥、肥料，以防治病蟲害、除雜草及施肥之機器，其機種為背負式。</w:t>
      </w:r>
      <w:r>
        <w:rPr>
          <w:rFonts w:ascii="標楷體" w:eastAsia="標楷體" w:hAnsi="標楷體" w:cs="Gungsuh"/>
          <w:color w:val="auto"/>
          <w:sz w:val="24"/>
          <w:szCs w:val="24"/>
        </w:rPr>
        <w:t xml:space="preserve"> </w:t>
      </w:r>
    </w:p>
    <w:p w14:paraId="76647DBF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六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定置式動力噴霧機：有動力裝備，可噴灑霧狀農藥，以防治病蟲害及除雜草之機器，其機種為定置式及廣距式。</w:t>
      </w:r>
    </w:p>
    <w:p w14:paraId="083900A6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七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抽水機：為經營農業之目的，所設置之抽水馬達及相關設備。</w:t>
      </w:r>
    </w:p>
    <w:p w14:paraId="0DDAA850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八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水稻聯合收穫機：有動力裝備，可作稻穀之收割、脫穀、篩選及裝袋等一貫作業之機器。</w:t>
      </w:r>
    </w:p>
    <w:p w14:paraId="1877CDE5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九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乾燥機：將收穫之穀類或其他作物，加速脫水以便儲存之機器，如稻穀乾燥機、玉米乾燥機、菸葉乾燥設備（一套機件算一台）等。</w:t>
      </w:r>
    </w:p>
    <w:p w14:paraId="472292F2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蔬果分級機：將蔬菜、水果或其他農產品，依大小或重量予以分類選別之機器。</w:t>
      </w:r>
    </w:p>
    <w:p w14:paraId="146C3611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十一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樹枝打</w:t>
      </w: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粉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碎機</w:t>
      </w:r>
      <w:r>
        <w:rPr>
          <w:rFonts w:ascii="標楷體" w:eastAsia="標楷體" w:hAnsi="標楷體" w:cs="Gungsuh"/>
          <w:color w:val="auto"/>
          <w:sz w:val="24"/>
          <w:szCs w:val="24"/>
        </w:rPr>
        <w:t>:</w:t>
      </w:r>
      <w:r>
        <w:rPr>
          <w:rFonts w:ascii="標楷體" w:eastAsia="標楷體" w:hAnsi="標楷體" w:cs="Gungsuh"/>
          <w:color w:val="auto"/>
          <w:sz w:val="24"/>
          <w:szCs w:val="24"/>
        </w:rPr>
        <w:t>專用於打碎或粉碎樹枝之機器。</w:t>
      </w:r>
    </w:p>
    <w:p w14:paraId="1662F016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十二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農地動力搬運車：有動力引擎裝置，可搬運農畜產品之農業用車輛。</w:t>
      </w:r>
    </w:p>
    <w:p w14:paraId="6CA14186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十三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動力剪枝機：有動力裝備，專用於修剪枝條之機器。</w:t>
      </w:r>
    </w:p>
    <w:p w14:paraId="015BA11A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十四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自走式噴霧車：有動力裝備，可噴灑霧狀農藥，以防治病蟲害及除雜草之車輛，其機種為行走式。</w:t>
      </w:r>
    </w:p>
    <w:p w14:paraId="334019D2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十五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插秧機：有動力裝備，可自動將培育好之秧苗，按一定距離插植於田間之機器。</w:t>
      </w:r>
    </w:p>
    <w:p w14:paraId="3D2B49AF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lastRenderedPageBreak/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十六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雜糧聯合收穫機：有動力裝備，用於雜糧收穫之機器，包括玉米聯合收穫機、高粱</w:t>
      </w:r>
      <w:r>
        <w:rPr>
          <w:rFonts w:ascii="標楷體" w:eastAsia="標楷體" w:hAnsi="標楷體" w:cs="Gungsuh"/>
          <w:color w:val="auto"/>
          <w:sz w:val="24"/>
          <w:szCs w:val="24"/>
        </w:rPr>
        <w:t>聯合收穫機、甘藷收</w:t>
      </w:r>
      <w:r>
        <w:rPr>
          <w:rFonts w:ascii="標楷體" w:eastAsia="標楷體" w:hAnsi="標楷體" w:cs="Gungsuh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Gungsuh"/>
          <w:color w:val="auto"/>
          <w:sz w:val="24"/>
          <w:szCs w:val="24"/>
        </w:rPr>
        <w:t>穫機、落花生收穫機、豆類收穫機等。</w:t>
      </w:r>
    </w:p>
    <w:p w14:paraId="40B68CFD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  <w:rPr>
          <w:rFonts w:ascii="標楷體" w:eastAsia="標楷體" w:hAnsi="標楷體" w:cs="Gungsuh"/>
          <w:color w:val="auto"/>
          <w:sz w:val="24"/>
          <w:szCs w:val="24"/>
        </w:rPr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十七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動力採茶機：有動力裝備，專用於採收茶葉之機器。</w:t>
      </w:r>
    </w:p>
    <w:p w14:paraId="364B8FF1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</w:pP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十八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脫殼（粒）機：有動力裝備，用於榖類作物收割後脫殼（粒）之機器，如稻穀脫殼機、玉米脫粒機、高粱脫粒機、花生脫莢機等。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　</w:t>
      </w:r>
    </w:p>
    <w:p w14:paraId="0BDDD5B7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</w:pP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統計單位：臺。</w:t>
      </w:r>
    </w:p>
    <w:p w14:paraId="585C73B1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80" w:hanging="480"/>
      </w:pPr>
      <w:r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統計分類：依農機種類及主要用途、機型等分為耕耘機、曳引機、動力中耕管理機、動力割草機、背負式（動力噴霧機、施肥機）、定置式動力噴霧機、抽水機、水稻聯合收穫機、乾燥機、蔬果分級機、樹枝打</w:t>
      </w:r>
      <w:r>
        <w:rPr>
          <w:rFonts w:ascii="標楷體" w:eastAsia="標楷體" w:hAnsi="標楷體" w:cs="Gungsuh"/>
          <w:color w:val="auto"/>
          <w:sz w:val="24"/>
          <w:szCs w:val="24"/>
        </w:rPr>
        <w:t>(</w:t>
      </w:r>
      <w:r>
        <w:rPr>
          <w:rFonts w:ascii="標楷體" w:eastAsia="標楷體" w:hAnsi="標楷體" w:cs="Gungsuh"/>
          <w:color w:val="auto"/>
          <w:sz w:val="24"/>
          <w:szCs w:val="24"/>
        </w:rPr>
        <w:t>粉</w:t>
      </w:r>
      <w:r>
        <w:rPr>
          <w:rFonts w:ascii="標楷體" w:eastAsia="標楷體" w:hAnsi="標楷體" w:cs="Gungsuh"/>
          <w:color w:val="auto"/>
          <w:sz w:val="24"/>
          <w:szCs w:val="24"/>
        </w:rPr>
        <w:t>)</w:t>
      </w:r>
      <w:r>
        <w:rPr>
          <w:rFonts w:ascii="標楷體" w:eastAsia="標楷體" w:hAnsi="標楷體" w:cs="Gungsuh"/>
          <w:color w:val="auto"/>
          <w:sz w:val="24"/>
          <w:szCs w:val="24"/>
        </w:rPr>
        <w:t>碎機、農地動力搬運車、動力剪枝機、自走式噴霧車、插秧機、雜糧聯合收穫機、動力採茶機、脫殼（粒）機、其他農機等。</w:t>
      </w:r>
      <w:r>
        <w:rPr>
          <w:rFonts w:ascii="標楷體" w:eastAsia="標楷體" w:hAnsi="標楷體" w:cs="Gungsuh"/>
          <w:color w:val="auto"/>
          <w:sz w:val="24"/>
          <w:szCs w:val="24"/>
        </w:rPr>
        <w:t xml:space="preserve"> </w:t>
      </w:r>
    </w:p>
    <w:p w14:paraId="6DCF3F90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發布週期</w:t>
      </w:r>
      <w:r>
        <w:rPr>
          <w:rFonts w:ascii="標楷體" w:eastAsia="標楷體" w:hAnsi="標楷體" w:cs="標楷體"/>
          <w:color w:val="auto"/>
          <w:sz w:val="24"/>
          <w:szCs w:val="24"/>
        </w:rPr>
        <w:t>：年。</w:t>
      </w:r>
    </w:p>
    <w:p w14:paraId="42C67797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﹡時效：</w:t>
      </w:r>
      <w:r>
        <w:rPr>
          <w:rFonts w:ascii="標楷體" w:eastAsia="標楷體" w:hAnsi="標楷體" w:cs="標楷體"/>
          <w:color w:val="auto"/>
          <w:sz w:val="24"/>
          <w:szCs w:val="24"/>
        </w:rPr>
        <w:t>3</w:t>
      </w:r>
      <w:r>
        <w:rPr>
          <w:rFonts w:ascii="標楷體" w:eastAsia="標楷體" w:hAnsi="標楷體" w:cs="標楷體"/>
          <w:color w:val="auto"/>
          <w:sz w:val="24"/>
          <w:szCs w:val="24"/>
        </w:rPr>
        <w:t>個月。</w:t>
      </w:r>
    </w:p>
    <w:p w14:paraId="52E6B47F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﹡資料變革：無。</w:t>
      </w:r>
    </w:p>
    <w:p w14:paraId="77A74167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四、公開資料發布訊息</w:t>
      </w:r>
    </w:p>
    <w:p w14:paraId="66850161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20" w:hanging="12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auto"/>
          <w:sz w:val="24"/>
          <w:szCs w:val="24"/>
        </w:rPr>
        <w:t>﹡預告發布日期：次年</w:t>
      </w:r>
      <w:r>
        <w:rPr>
          <w:rFonts w:ascii="標楷體" w:eastAsia="標楷體" w:hAnsi="標楷體" w:cs="標楷體"/>
          <w:color w:val="auto"/>
          <w:sz w:val="24"/>
          <w:szCs w:val="24"/>
        </w:rPr>
        <w:t>3</w:t>
      </w:r>
      <w:r>
        <w:rPr>
          <w:rFonts w:ascii="標楷體" w:eastAsia="標楷體" w:hAnsi="標楷體" w:cs="標楷體"/>
          <w:color w:val="auto"/>
          <w:sz w:val="24"/>
          <w:szCs w:val="24"/>
        </w:rPr>
        <w:t>月底。</w:t>
      </w:r>
      <w:r>
        <w:rPr>
          <w:rFonts w:ascii="標楷體" w:eastAsia="標楷體" w:hAnsi="標楷體" w:cs="標楷體"/>
          <w:color w:val="auto"/>
          <w:sz w:val="24"/>
          <w:szCs w:val="24"/>
        </w:rPr>
        <w:t>(</w:t>
      </w:r>
      <w:r>
        <w:rPr>
          <w:rFonts w:ascii="標楷體" w:eastAsia="標楷體" w:hAnsi="標楷體" w:cs="標楷體"/>
          <w:color w:val="auto"/>
          <w:sz w:val="24"/>
          <w:szCs w:val="24"/>
        </w:rPr>
        <w:t>原訂預告發布日期如遇例假日或國定假日則延</w:t>
      </w:r>
    </w:p>
    <w:p w14:paraId="1792D4E9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0" w:firstLine="36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至下一個工作日發布</w:t>
      </w:r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76FEACFB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　﹡同步發送單位</w:t>
      </w:r>
      <w:r>
        <w:rPr>
          <w:rFonts w:ascii="標楷體" w:eastAsia="標楷體" w:hAnsi="標楷體" w:cs="Gungsuh"/>
          <w:color w:val="auto"/>
          <w:sz w:val="24"/>
          <w:szCs w:val="24"/>
        </w:rPr>
        <w:t>：臺中市政府主計處</w:t>
      </w:r>
      <w:r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233F1E2F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Gungsuh"/>
          <w:color w:val="auto"/>
          <w:sz w:val="24"/>
          <w:szCs w:val="24"/>
        </w:rPr>
        <w:t>五</w:t>
      </w:r>
      <w:r>
        <w:rPr>
          <w:rFonts w:ascii="標楷體" w:eastAsia="標楷體" w:hAnsi="標楷體" w:cs="標楷體"/>
          <w:color w:val="auto"/>
          <w:sz w:val="24"/>
          <w:szCs w:val="24"/>
        </w:rPr>
        <w:t>、</w:t>
      </w:r>
      <w:r>
        <w:rPr>
          <w:rFonts w:ascii="標楷體" w:eastAsia="標楷體" w:hAnsi="標楷體" w:cs="Gungsuh"/>
          <w:color w:val="auto"/>
          <w:sz w:val="24"/>
          <w:szCs w:val="24"/>
        </w:rPr>
        <w:t>資料品質</w:t>
      </w:r>
      <w:r>
        <w:rPr>
          <w:rFonts w:ascii="標楷體" w:eastAsia="標楷體" w:hAnsi="標楷體" w:cs="Gungsuh"/>
          <w:color w:val="auto"/>
          <w:sz w:val="24"/>
          <w:szCs w:val="24"/>
        </w:rPr>
        <w:br/>
      </w:r>
      <w:r>
        <w:rPr>
          <w:rFonts w:ascii="標楷體" w:eastAsia="標楷體" w:hAnsi="標楷體" w:cs="Gungsuh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auto"/>
          <w:sz w:val="24"/>
          <w:szCs w:val="24"/>
        </w:rPr>
        <w:t>﹡統計指標編製方法與資料來源說明：</w:t>
      </w:r>
      <w:r>
        <w:rPr>
          <w:rFonts w:ascii="標楷體" w:eastAsia="標楷體" w:hAnsi="標楷體" w:cs="Gungsuh"/>
          <w:color w:val="auto"/>
          <w:sz w:val="24"/>
          <w:szCs w:val="24"/>
        </w:rPr>
        <w:t>本局作物生產科依據各區公所有效農機使用證之農機數量報表彙編。</w:t>
      </w:r>
    </w:p>
    <w:p w14:paraId="4775B46F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Gungsuh"/>
          <w:color w:val="auto"/>
          <w:sz w:val="24"/>
          <w:szCs w:val="24"/>
        </w:rPr>
        <w:t xml:space="preserve">　</w:t>
      </w:r>
      <w:r>
        <w:rPr>
          <w:rFonts w:ascii="標楷體" w:eastAsia="標楷體" w:hAnsi="標楷體" w:cs="標楷體"/>
          <w:color w:val="auto"/>
          <w:sz w:val="24"/>
          <w:szCs w:val="24"/>
        </w:rPr>
        <w:t>﹡</w:t>
      </w:r>
      <w:r>
        <w:rPr>
          <w:rFonts w:ascii="標楷體" w:eastAsia="標楷體" w:hAnsi="標楷體" w:cs="Gungsuh"/>
          <w:color w:val="auto"/>
          <w:sz w:val="24"/>
          <w:szCs w:val="24"/>
        </w:rPr>
        <w:t>統計資料交叉查核及確保資料合理性之機制：作物生產科</w:t>
      </w:r>
      <w:r>
        <w:rPr>
          <w:rFonts w:ascii="標楷體" w:eastAsia="標楷體" w:hAnsi="標楷體" w:cs="標楷體"/>
          <w:color w:val="auto"/>
          <w:sz w:val="24"/>
          <w:szCs w:val="24"/>
        </w:rPr>
        <w:t>、農業部農糧署交叉查核確保資料合理性。</w:t>
      </w:r>
    </w:p>
    <w:p w14:paraId="0997EB7B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Gungsuh"/>
          <w:color w:val="auto"/>
          <w:sz w:val="24"/>
          <w:szCs w:val="24"/>
        </w:rPr>
        <w:t>六</w:t>
      </w:r>
      <w:r>
        <w:rPr>
          <w:rFonts w:ascii="標楷體" w:eastAsia="標楷體" w:hAnsi="標楷體" w:cs="標楷體"/>
          <w:color w:val="auto"/>
          <w:sz w:val="24"/>
          <w:szCs w:val="24"/>
        </w:rPr>
        <w:t>、</w:t>
      </w:r>
      <w:r>
        <w:rPr>
          <w:rFonts w:ascii="標楷體" w:eastAsia="標楷體" w:hAnsi="標楷體" w:cs="Gungsuh"/>
          <w:color w:val="auto"/>
          <w:sz w:val="24"/>
          <w:szCs w:val="24"/>
        </w:rPr>
        <w:t>須注意及預定改變之事項：</w:t>
      </w:r>
      <w:r>
        <w:rPr>
          <w:rFonts w:ascii="標楷體" w:eastAsia="標楷體" w:hAnsi="標楷體" w:cs="標楷體"/>
          <w:color w:val="auto"/>
          <w:sz w:val="24"/>
          <w:szCs w:val="24"/>
        </w:rPr>
        <w:t>表號</w:t>
      </w:r>
      <w:r>
        <w:rPr>
          <w:rFonts w:ascii="標楷體" w:eastAsia="標楷體" w:hAnsi="標楷體" w:cs="標楷體"/>
          <w:color w:val="auto"/>
          <w:sz w:val="24"/>
          <w:szCs w:val="24"/>
        </w:rPr>
        <w:t>20329-90-01-2</w:t>
      </w:r>
      <w:r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24318967" w14:textId="77777777" w:rsidR="00776E42" w:rsidRDefault="00F91A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標楷體" w:eastAsia="標楷體" w:hAnsi="標楷體" w:cs="標楷體"/>
          <w:color w:val="auto"/>
          <w:sz w:val="24"/>
          <w:szCs w:val="24"/>
        </w:rPr>
        <w:t>七、其他事項：無。</w:t>
      </w:r>
    </w:p>
    <w:sectPr w:rsidR="00776E42">
      <w:pgSz w:w="11906" w:h="16838"/>
      <w:pgMar w:top="1079" w:right="1466" w:bottom="68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63AD" w14:textId="77777777" w:rsidR="00000000" w:rsidRDefault="00F91A83">
      <w:r>
        <w:separator/>
      </w:r>
    </w:p>
  </w:endnote>
  <w:endnote w:type="continuationSeparator" w:id="0">
    <w:p w14:paraId="7F17D14D" w14:textId="77777777" w:rsidR="00000000" w:rsidRDefault="00F9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0558" w14:textId="77777777" w:rsidR="00000000" w:rsidRDefault="00F91A83">
      <w:r>
        <w:separator/>
      </w:r>
    </w:p>
  </w:footnote>
  <w:footnote w:type="continuationSeparator" w:id="0">
    <w:p w14:paraId="03A23FB6" w14:textId="77777777" w:rsidR="00000000" w:rsidRDefault="00F9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6E42"/>
    <w:rsid w:val="00776E42"/>
    <w:rsid w:val="00F9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DBE65"/>
  <w15:docId w15:val="{8001C8A0-84D1-4196-A801-24236B6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曾前瑋</dc:creator>
  <cp:lastModifiedBy>cws</cp:lastModifiedBy>
  <cp:revision>2</cp:revision>
  <dcterms:created xsi:type="dcterms:W3CDTF">2023-12-06T03:32:00Z</dcterms:created>
  <dcterms:modified xsi:type="dcterms:W3CDTF">2023-12-06T03:32:00Z</dcterms:modified>
</cp:coreProperties>
</file>