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522B" w:rsidRDefault="000E5BF2">
      <w:pPr>
        <w:jc w:val="center"/>
        <w:rPr>
          <w:rFonts w:eastAsia="標楷體"/>
          <w:b/>
          <w:sz w:val="32"/>
          <w:szCs w:val="32"/>
        </w:rPr>
      </w:pPr>
      <w:r>
        <w:rPr>
          <w:rFonts w:eastAsia="標楷體"/>
          <w:b/>
          <w:sz w:val="32"/>
          <w:szCs w:val="32"/>
        </w:rPr>
        <w:t>統計資料背景說明</w:t>
      </w:r>
    </w:p>
    <w:p w:rsidR="0055522B" w:rsidRDefault="000E5BF2">
      <w:pPr>
        <w:rPr>
          <w:rFonts w:ascii="標楷體" w:eastAsia="標楷體" w:hAnsi="標楷體"/>
          <w:szCs w:val="24"/>
        </w:rPr>
      </w:pPr>
      <w:r>
        <w:rPr>
          <w:rFonts w:ascii="標楷體" w:eastAsia="標楷體" w:hAnsi="標楷體"/>
          <w:szCs w:val="24"/>
        </w:rPr>
        <w:t>資料種類：農業統計</w:t>
      </w:r>
    </w:p>
    <w:p w:rsidR="0055522B" w:rsidRDefault="000E5BF2">
      <w:pPr>
        <w:rPr>
          <w:rFonts w:ascii="標楷體" w:eastAsia="標楷體" w:hAnsi="標楷體"/>
          <w:szCs w:val="24"/>
        </w:rPr>
      </w:pPr>
      <w:r>
        <w:rPr>
          <w:rFonts w:ascii="標楷體" w:eastAsia="標楷體" w:hAnsi="標楷體"/>
          <w:szCs w:val="24"/>
        </w:rPr>
        <w:t>資料項目：臺中市休閒農業統計</w:t>
      </w:r>
    </w:p>
    <w:p w:rsidR="0055522B" w:rsidRDefault="000E5BF2">
      <w:r>
        <w:rPr>
          <w:rFonts w:eastAsia="標楷體"/>
        </w:rPr>
        <w:t>一</w:t>
      </w:r>
      <w:r>
        <w:rPr>
          <w:rFonts w:ascii="標楷體" w:eastAsia="標楷體" w:hAnsi="標楷體"/>
        </w:rPr>
        <w:t>、</w:t>
      </w:r>
      <w:r>
        <w:rPr>
          <w:rFonts w:eastAsia="標楷體"/>
        </w:rPr>
        <w:t>發布及編製機關單位</w:t>
      </w:r>
    </w:p>
    <w:p w:rsidR="0055522B" w:rsidRDefault="000E5BF2">
      <w:pPr>
        <w:numPr>
          <w:ilvl w:val="1"/>
          <w:numId w:val="1"/>
        </w:numPr>
        <w:spacing w:line="0" w:lineRule="atLeast"/>
        <w:rPr>
          <w:rFonts w:eastAsia="標楷體"/>
        </w:rPr>
      </w:pPr>
      <w:r>
        <w:rPr>
          <w:rFonts w:eastAsia="標楷體"/>
        </w:rPr>
        <w:t>發布機關：臺中市政府農業局會計室</w:t>
      </w:r>
    </w:p>
    <w:p w:rsidR="0055522B" w:rsidRDefault="000E5BF2">
      <w:pPr>
        <w:numPr>
          <w:ilvl w:val="1"/>
          <w:numId w:val="1"/>
        </w:numPr>
        <w:spacing w:line="0" w:lineRule="atLeast"/>
        <w:rPr>
          <w:rFonts w:eastAsia="標楷體"/>
        </w:rPr>
      </w:pPr>
      <w:r>
        <w:rPr>
          <w:rFonts w:eastAsia="標楷體"/>
        </w:rPr>
        <w:t>編製單位：臺中市政府農業局農會輔導休閒農業科</w:t>
      </w:r>
    </w:p>
    <w:p w:rsidR="0055522B" w:rsidRDefault="000E5BF2">
      <w:pPr>
        <w:numPr>
          <w:ilvl w:val="1"/>
          <w:numId w:val="1"/>
        </w:numPr>
        <w:spacing w:line="0" w:lineRule="atLeast"/>
      </w:pPr>
      <w:r>
        <w:rPr>
          <w:rFonts w:eastAsia="標楷體"/>
        </w:rPr>
        <w:t>聯絡電話：</w:t>
      </w:r>
      <w:r>
        <w:rPr>
          <w:rFonts w:ascii="標楷體" w:eastAsia="標楷體" w:hAnsi="標楷體"/>
        </w:rPr>
        <w:t>04-22289111</w:t>
      </w:r>
      <w:r>
        <w:rPr>
          <w:rFonts w:ascii="標楷體" w:eastAsia="標楷體" w:hAnsi="標楷體"/>
        </w:rPr>
        <w:t>轉</w:t>
      </w:r>
      <w:r>
        <w:rPr>
          <w:rFonts w:ascii="標楷體" w:eastAsia="標楷體" w:hAnsi="標楷體"/>
        </w:rPr>
        <w:t>56412</w:t>
      </w:r>
    </w:p>
    <w:p w:rsidR="0055522B" w:rsidRDefault="000E5BF2">
      <w:pPr>
        <w:numPr>
          <w:ilvl w:val="1"/>
          <w:numId w:val="1"/>
        </w:numPr>
        <w:spacing w:line="0" w:lineRule="atLeast"/>
        <w:rPr>
          <w:rFonts w:ascii="標楷體" w:eastAsia="標楷體" w:hAnsi="標楷體"/>
        </w:rPr>
      </w:pPr>
      <w:r>
        <w:rPr>
          <w:rFonts w:ascii="標楷體" w:eastAsia="標楷體" w:hAnsi="標楷體"/>
        </w:rPr>
        <w:t>傳真：</w:t>
      </w:r>
      <w:r>
        <w:rPr>
          <w:rFonts w:ascii="標楷體" w:eastAsia="標楷體" w:hAnsi="標楷體"/>
        </w:rPr>
        <w:t>04-25281061</w:t>
      </w:r>
    </w:p>
    <w:p w:rsidR="0055522B" w:rsidRDefault="000E5BF2">
      <w:pPr>
        <w:numPr>
          <w:ilvl w:val="1"/>
          <w:numId w:val="1"/>
        </w:numPr>
        <w:spacing w:line="0" w:lineRule="atLeast"/>
        <w:rPr>
          <w:rFonts w:ascii="標楷體" w:eastAsia="標楷體" w:hAnsi="標楷體"/>
        </w:rPr>
      </w:pPr>
      <w:r>
        <w:rPr>
          <w:rFonts w:ascii="標楷體" w:eastAsia="標楷體" w:hAnsi="標楷體"/>
        </w:rPr>
        <w:t>電子信箱：</w:t>
      </w:r>
      <w:r>
        <w:rPr>
          <w:rFonts w:ascii="標楷體" w:eastAsia="標楷體" w:hAnsi="標楷體"/>
        </w:rPr>
        <w:t>bojen329@taichung.gov.tw</w:t>
      </w:r>
    </w:p>
    <w:p w:rsidR="0055522B" w:rsidRDefault="000E5BF2">
      <w:pPr>
        <w:rPr>
          <w:rFonts w:ascii="標楷體" w:eastAsia="標楷體" w:hAnsi="標楷體"/>
        </w:rPr>
      </w:pPr>
      <w:r>
        <w:rPr>
          <w:rFonts w:ascii="標楷體" w:eastAsia="標楷體" w:hAnsi="標楷體"/>
        </w:rPr>
        <w:t>二、發布形式</w:t>
      </w:r>
    </w:p>
    <w:p w:rsidR="0055522B" w:rsidRDefault="000E5BF2">
      <w:pPr>
        <w:numPr>
          <w:ilvl w:val="1"/>
          <w:numId w:val="1"/>
        </w:numPr>
        <w:spacing w:line="0" w:lineRule="atLeast"/>
        <w:rPr>
          <w:rFonts w:ascii="標楷體" w:eastAsia="標楷體" w:hAnsi="標楷體"/>
        </w:rPr>
      </w:pPr>
      <w:r>
        <w:rPr>
          <w:rFonts w:ascii="標楷體" w:eastAsia="標楷體" w:hAnsi="標楷體"/>
        </w:rPr>
        <w:t>口頭：</w:t>
      </w:r>
    </w:p>
    <w:p w:rsidR="0055522B" w:rsidRDefault="000E5BF2">
      <w:pPr>
        <w:spacing w:line="0" w:lineRule="atLeast"/>
        <w:ind w:firstLine="840"/>
        <w:rPr>
          <w:rFonts w:ascii="標楷體" w:eastAsia="標楷體" w:hAnsi="標楷體"/>
        </w:rPr>
      </w:pPr>
      <w:r>
        <w:rPr>
          <w:rFonts w:ascii="標楷體" w:eastAsia="標楷體" w:hAnsi="標楷體"/>
        </w:rPr>
        <w:t>（）記者會或說明會</w:t>
      </w:r>
    </w:p>
    <w:p w:rsidR="0055522B" w:rsidRDefault="000E5BF2">
      <w:pPr>
        <w:numPr>
          <w:ilvl w:val="1"/>
          <w:numId w:val="1"/>
        </w:numPr>
        <w:spacing w:line="0" w:lineRule="atLeast"/>
        <w:rPr>
          <w:rFonts w:ascii="標楷體" w:eastAsia="標楷體" w:hAnsi="標楷體"/>
        </w:rPr>
      </w:pPr>
      <w:r>
        <w:rPr>
          <w:rFonts w:ascii="標楷體" w:eastAsia="標楷體" w:hAnsi="標楷體"/>
        </w:rPr>
        <w:t>書面：</w:t>
      </w:r>
    </w:p>
    <w:p w:rsidR="0055522B" w:rsidRDefault="000E5BF2">
      <w:pPr>
        <w:spacing w:line="0" w:lineRule="atLeast"/>
        <w:ind w:firstLine="840"/>
        <w:rPr>
          <w:rFonts w:ascii="標楷體" w:eastAsia="標楷體" w:hAnsi="標楷體"/>
        </w:rPr>
      </w:pPr>
      <w:r>
        <w:rPr>
          <w:rFonts w:ascii="標楷體" w:eastAsia="標楷體" w:hAnsi="標楷體"/>
        </w:rPr>
        <w:t>（）新聞稿</w:t>
      </w:r>
      <w:r>
        <w:rPr>
          <w:rFonts w:ascii="標楷體" w:eastAsia="標楷體" w:hAnsi="標楷體"/>
        </w:rPr>
        <w:t xml:space="preserve"> </w:t>
      </w:r>
      <w:r>
        <w:rPr>
          <w:rFonts w:ascii="標楷體" w:eastAsia="標楷體" w:hAnsi="標楷體"/>
        </w:rPr>
        <w:t>（</w:t>
      </w:r>
      <w:r>
        <w:rPr>
          <w:rFonts w:ascii="標楷體" w:eastAsia="標楷體" w:hAnsi="標楷體"/>
        </w:rPr>
        <w:t>v</w:t>
      </w:r>
      <w:r>
        <w:rPr>
          <w:rFonts w:ascii="標楷體" w:eastAsia="標楷體" w:hAnsi="標楷體"/>
        </w:rPr>
        <w:t>）報表</w:t>
      </w:r>
      <w:r>
        <w:rPr>
          <w:rFonts w:ascii="標楷體" w:eastAsia="標楷體" w:hAnsi="標楷體"/>
        </w:rPr>
        <w:t xml:space="preserve"> </w:t>
      </w:r>
      <w:r>
        <w:rPr>
          <w:rFonts w:ascii="標楷體" w:eastAsia="標楷體" w:hAnsi="標楷體"/>
        </w:rPr>
        <w:t>（）書刊，刊名：</w:t>
      </w:r>
      <w:r>
        <w:rPr>
          <w:rFonts w:ascii="標楷體" w:eastAsia="標楷體" w:hAnsi="標楷體"/>
        </w:rPr>
        <w:t xml:space="preserve"> </w:t>
      </w:r>
    </w:p>
    <w:p w:rsidR="0055522B" w:rsidRDefault="000E5BF2">
      <w:pPr>
        <w:numPr>
          <w:ilvl w:val="1"/>
          <w:numId w:val="1"/>
        </w:numPr>
        <w:spacing w:line="0" w:lineRule="atLeast"/>
        <w:rPr>
          <w:rFonts w:ascii="標楷體" w:eastAsia="標楷體" w:hAnsi="標楷體"/>
        </w:rPr>
      </w:pPr>
      <w:r>
        <w:rPr>
          <w:rFonts w:ascii="標楷體" w:eastAsia="標楷體" w:hAnsi="標楷體"/>
        </w:rPr>
        <w:t>電子媒體：</w:t>
      </w:r>
    </w:p>
    <w:p w:rsidR="0055522B" w:rsidRDefault="000E5BF2">
      <w:pPr>
        <w:spacing w:line="0" w:lineRule="atLeast"/>
        <w:ind w:left="600" w:firstLine="240"/>
      </w:pPr>
      <w:r>
        <w:rPr>
          <w:rFonts w:ascii="標楷體" w:eastAsia="標楷體" w:hAnsi="標楷體"/>
        </w:rPr>
        <w:t>（</w:t>
      </w:r>
      <w:r>
        <w:rPr>
          <w:rFonts w:ascii="標楷體" w:eastAsia="標楷體" w:hAnsi="標楷體"/>
        </w:rPr>
        <w:t>v</w:t>
      </w:r>
      <w:r>
        <w:rPr>
          <w:rFonts w:ascii="標楷體" w:eastAsia="標楷體" w:hAnsi="標楷體"/>
        </w:rPr>
        <w:t>）線上書刊及資料庫，網址：</w:t>
      </w:r>
      <w:r>
        <w:rPr>
          <w:rFonts w:ascii="標楷體" w:eastAsia="標楷體" w:hAnsi="標楷體"/>
        </w:rPr>
        <w:br/>
      </w:r>
      <w:r>
        <w:rPr>
          <w:rFonts w:ascii="標楷體" w:eastAsia="標楷體" w:hAnsi="標楷體"/>
        </w:rPr>
        <w:t xml:space="preserve">　</w:t>
      </w:r>
      <w:r>
        <w:rPr>
          <w:rFonts w:ascii="標楷體" w:eastAsia="標楷體" w:hAnsi="標楷體"/>
          <w:sz w:val="18"/>
          <w:szCs w:val="18"/>
        </w:rPr>
        <w:t xml:space="preserve">     </w:t>
      </w:r>
      <w:r>
        <w:rPr>
          <w:rFonts w:ascii="標楷體" w:eastAsia="標楷體" w:hAnsi="標楷體"/>
          <w:sz w:val="18"/>
          <w:szCs w:val="18"/>
        </w:rPr>
        <w:t>http://govstat.taichung.gov.tw/TCSTAT/Page/kcg01_2.aspx?Mid1=387270000G</w:t>
      </w:r>
    </w:p>
    <w:p w:rsidR="0055522B" w:rsidRDefault="000E5BF2">
      <w:pPr>
        <w:spacing w:line="0" w:lineRule="atLeast"/>
        <w:rPr>
          <w:rFonts w:ascii="標楷體" w:eastAsia="標楷體" w:hAnsi="標楷體"/>
        </w:rPr>
      </w:pPr>
      <w:r>
        <w:rPr>
          <w:rFonts w:ascii="標楷體" w:eastAsia="標楷體" w:hAnsi="標楷體"/>
        </w:rPr>
        <w:t xml:space="preserve">       </w:t>
      </w:r>
      <w:r>
        <w:rPr>
          <w:rFonts w:ascii="標楷體" w:eastAsia="標楷體" w:hAnsi="標楷體"/>
        </w:rPr>
        <w:t>（）磁片</w:t>
      </w:r>
      <w:r>
        <w:rPr>
          <w:rFonts w:ascii="標楷體" w:eastAsia="標楷體" w:hAnsi="標楷體"/>
        </w:rPr>
        <w:t xml:space="preserve">    </w:t>
      </w:r>
      <w:r>
        <w:rPr>
          <w:rFonts w:ascii="標楷體" w:eastAsia="標楷體" w:hAnsi="標楷體"/>
        </w:rPr>
        <w:t>（）光碟片</w:t>
      </w:r>
      <w:r>
        <w:rPr>
          <w:rFonts w:ascii="標楷體" w:eastAsia="標楷體" w:hAnsi="標楷體"/>
        </w:rPr>
        <w:t xml:space="preserve">  </w:t>
      </w:r>
      <w:r>
        <w:rPr>
          <w:rFonts w:ascii="標楷體" w:eastAsia="標楷體" w:hAnsi="標楷體"/>
        </w:rPr>
        <w:t>（）其他</w:t>
      </w:r>
    </w:p>
    <w:p w:rsidR="0055522B" w:rsidRDefault="000E5BF2">
      <w:pPr>
        <w:rPr>
          <w:rFonts w:ascii="標楷體" w:eastAsia="標楷體" w:hAnsi="標楷體"/>
        </w:rPr>
      </w:pPr>
      <w:r>
        <w:rPr>
          <w:rFonts w:ascii="標楷體" w:eastAsia="標楷體" w:hAnsi="標楷體"/>
        </w:rPr>
        <w:t>三、資料範圍、週期及時效</w:t>
      </w:r>
    </w:p>
    <w:p w:rsidR="0055522B" w:rsidRDefault="000E5BF2">
      <w:pPr>
        <w:numPr>
          <w:ilvl w:val="1"/>
          <w:numId w:val="1"/>
        </w:numPr>
        <w:spacing w:line="0" w:lineRule="atLeast"/>
      </w:pPr>
      <w:r>
        <w:rPr>
          <w:rFonts w:eastAsia="標楷體"/>
        </w:rPr>
        <w:t>統計地區範圍及對象：</w:t>
      </w:r>
      <w:r>
        <w:rPr>
          <w:rFonts w:eastAsia="標楷體"/>
          <w:szCs w:val="24"/>
        </w:rPr>
        <w:t>凡在本市境內依據休閒農業法規申請籌設之休閒農</w:t>
      </w:r>
      <w:r>
        <w:rPr>
          <w:rFonts w:eastAsia="標楷體"/>
          <w:szCs w:val="24"/>
        </w:rPr>
        <w:br/>
      </w:r>
      <w:r>
        <w:rPr>
          <w:rFonts w:eastAsia="標楷體"/>
          <w:szCs w:val="24"/>
        </w:rPr>
        <w:t xml:space="preserve">                    </w:t>
      </w:r>
      <w:r>
        <w:rPr>
          <w:rFonts w:eastAsia="標楷體"/>
          <w:szCs w:val="24"/>
        </w:rPr>
        <w:t>場及農業部公告劃設之休閒農業區，均</w:t>
      </w:r>
      <w:r>
        <w:rPr>
          <w:rFonts w:eastAsia="標楷體"/>
        </w:rPr>
        <w:t>為統計對象。</w:t>
      </w:r>
    </w:p>
    <w:p w:rsidR="0055522B" w:rsidRDefault="000E5BF2">
      <w:pPr>
        <w:numPr>
          <w:ilvl w:val="1"/>
          <w:numId w:val="1"/>
        </w:numPr>
        <w:spacing w:line="0" w:lineRule="atLeast"/>
        <w:rPr>
          <w:rFonts w:eastAsia="標楷體"/>
        </w:rPr>
      </w:pPr>
      <w:r>
        <w:rPr>
          <w:rFonts w:eastAsia="標楷體"/>
        </w:rPr>
        <w:t>統計標準時間：以每年</w:t>
      </w:r>
      <w:r>
        <w:rPr>
          <w:rFonts w:eastAsia="標楷體"/>
        </w:rPr>
        <w:t>12</w:t>
      </w:r>
      <w:r>
        <w:rPr>
          <w:rFonts w:eastAsia="標楷體"/>
        </w:rPr>
        <w:t>月底之事實為準。</w:t>
      </w:r>
    </w:p>
    <w:p w:rsidR="0055522B" w:rsidRDefault="000E5BF2">
      <w:pPr>
        <w:numPr>
          <w:ilvl w:val="1"/>
          <w:numId w:val="1"/>
        </w:numPr>
        <w:spacing w:line="0" w:lineRule="atLeast"/>
        <w:rPr>
          <w:rFonts w:eastAsia="標楷體"/>
        </w:rPr>
      </w:pPr>
      <w:r>
        <w:rPr>
          <w:rFonts w:eastAsia="標楷體"/>
        </w:rPr>
        <w:t>統計項目定義：依據休閒農業法規申請、同意、廢止籌設、許可、廢止登</w:t>
      </w:r>
      <w:r>
        <w:rPr>
          <w:rFonts w:eastAsia="標楷體"/>
        </w:rPr>
        <w:br/>
      </w:r>
      <w:r>
        <w:rPr>
          <w:rFonts w:eastAsia="標楷體"/>
        </w:rPr>
        <w:t xml:space="preserve">             </w:t>
      </w:r>
      <w:r>
        <w:rPr>
          <w:rFonts w:eastAsia="標楷體"/>
        </w:rPr>
        <w:t>記之休閒農場及行政院農業委員會公告劃設之休閒農業區。</w:t>
      </w:r>
    </w:p>
    <w:p w:rsidR="0055522B" w:rsidRDefault="000E5BF2">
      <w:pPr>
        <w:numPr>
          <w:ilvl w:val="1"/>
          <w:numId w:val="1"/>
        </w:numPr>
        <w:spacing w:line="0" w:lineRule="atLeast"/>
        <w:rPr>
          <w:rFonts w:eastAsia="標楷體"/>
        </w:rPr>
      </w:pPr>
      <w:r>
        <w:rPr>
          <w:rFonts w:eastAsia="標楷體"/>
        </w:rPr>
        <w:t>統計單位：家數。</w:t>
      </w:r>
    </w:p>
    <w:p w:rsidR="0055522B" w:rsidRDefault="000E5BF2">
      <w:pPr>
        <w:numPr>
          <w:ilvl w:val="1"/>
          <w:numId w:val="1"/>
        </w:numPr>
        <w:spacing w:line="0" w:lineRule="atLeast"/>
      </w:pPr>
      <w:r>
        <w:rPr>
          <w:rFonts w:eastAsia="標楷體"/>
        </w:rPr>
        <w:t>統計分類：</w:t>
      </w:r>
      <w:r>
        <w:rPr>
          <w:rFonts w:eastAsia="標楷體"/>
        </w:rPr>
        <w:t>(</w:t>
      </w:r>
      <w:r>
        <w:rPr>
          <w:rFonts w:eastAsia="標楷體"/>
        </w:rPr>
        <w:t>一</w:t>
      </w:r>
      <w:r>
        <w:rPr>
          <w:rFonts w:eastAsia="標楷體"/>
        </w:rPr>
        <w:t>)</w:t>
      </w:r>
      <w:r>
        <w:rPr>
          <w:rFonts w:ascii="標楷體" w:eastAsia="標楷體" w:hAnsi="標楷體"/>
          <w:sz w:val="28"/>
          <w:szCs w:val="28"/>
        </w:rPr>
        <w:t xml:space="preserve"> </w:t>
      </w:r>
      <w:r>
        <w:rPr>
          <w:rFonts w:eastAsia="標楷體"/>
        </w:rPr>
        <w:t>縱行科目：按申請、同意、廢止籌設、許可、廢止登記、</w:t>
      </w:r>
      <w:r>
        <w:rPr>
          <w:rFonts w:eastAsia="標楷體"/>
        </w:rPr>
        <w:br/>
      </w:r>
      <w:r>
        <w:rPr>
          <w:rFonts w:eastAsia="標楷體"/>
        </w:rPr>
        <w:t xml:space="preserve">              </w:t>
      </w:r>
      <w:r>
        <w:rPr>
          <w:rFonts w:eastAsia="標楷體"/>
        </w:rPr>
        <w:t>公告劃設之休閒農業區數目分類。</w:t>
      </w:r>
    </w:p>
    <w:p w:rsidR="0055522B" w:rsidRDefault="000E5BF2">
      <w:pPr>
        <w:spacing w:line="0" w:lineRule="atLeast"/>
        <w:ind w:left="426"/>
      </w:pPr>
      <w:r>
        <w:rPr>
          <w:rFonts w:eastAsia="標楷體"/>
        </w:rPr>
        <w:t xml:space="preserve">              (</w:t>
      </w:r>
      <w:r>
        <w:rPr>
          <w:rFonts w:eastAsia="標楷體"/>
        </w:rPr>
        <w:t>二</w:t>
      </w:r>
      <w:r>
        <w:rPr>
          <w:rFonts w:eastAsia="標楷體"/>
        </w:rPr>
        <w:t>)</w:t>
      </w:r>
      <w:r>
        <w:rPr>
          <w:rFonts w:ascii="標楷體" w:eastAsia="標楷體" w:hAnsi="標楷體"/>
          <w:sz w:val="28"/>
          <w:szCs w:val="28"/>
        </w:rPr>
        <w:t xml:space="preserve"> </w:t>
      </w:r>
      <w:r>
        <w:rPr>
          <w:rFonts w:eastAsia="標楷體"/>
        </w:rPr>
        <w:t>橫向科目：按全市各行政區域統計</w:t>
      </w:r>
      <w:r>
        <w:rPr>
          <w:rFonts w:ascii="標楷體" w:eastAsia="標楷體" w:hAnsi="標楷體"/>
        </w:rPr>
        <w:t>。</w:t>
      </w:r>
      <w:r>
        <w:rPr>
          <w:rFonts w:ascii="標楷體" w:eastAsia="標楷體" w:hAnsi="標楷體"/>
        </w:rPr>
        <w:t xml:space="preserve">        </w:t>
      </w:r>
    </w:p>
    <w:p w:rsidR="0055522B" w:rsidRDefault="000E5BF2">
      <w:pPr>
        <w:numPr>
          <w:ilvl w:val="1"/>
          <w:numId w:val="1"/>
        </w:numPr>
        <w:spacing w:line="0" w:lineRule="atLeast"/>
        <w:rPr>
          <w:rFonts w:ascii="標楷體" w:eastAsia="標楷體" w:hAnsi="標楷體"/>
        </w:rPr>
      </w:pPr>
      <w:r>
        <w:rPr>
          <w:rFonts w:ascii="標楷體" w:eastAsia="標楷體" w:hAnsi="標楷體"/>
        </w:rPr>
        <w:t>發布週期：年。</w:t>
      </w:r>
    </w:p>
    <w:p w:rsidR="0055522B" w:rsidRDefault="000E5BF2">
      <w:pPr>
        <w:numPr>
          <w:ilvl w:val="1"/>
          <w:numId w:val="1"/>
        </w:numPr>
        <w:spacing w:line="0" w:lineRule="atLeast"/>
        <w:rPr>
          <w:rFonts w:ascii="標楷體" w:eastAsia="標楷體" w:hAnsi="標楷體"/>
        </w:rPr>
      </w:pPr>
      <w:r>
        <w:rPr>
          <w:rFonts w:ascii="標楷體" w:eastAsia="標楷體" w:hAnsi="標楷體"/>
        </w:rPr>
        <w:t>時效：</w:t>
      </w:r>
      <w:r>
        <w:rPr>
          <w:rFonts w:ascii="標楷體" w:eastAsia="標楷體" w:hAnsi="標楷體"/>
        </w:rPr>
        <w:t>2</w:t>
      </w:r>
      <w:r>
        <w:rPr>
          <w:rFonts w:ascii="標楷體" w:eastAsia="標楷體" w:hAnsi="標楷體"/>
        </w:rPr>
        <w:t>個月。</w:t>
      </w:r>
    </w:p>
    <w:p w:rsidR="0055522B" w:rsidRDefault="000E5BF2">
      <w:pPr>
        <w:numPr>
          <w:ilvl w:val="1"/>
          <w:numId w:val="1"/>
        </w:numPr>
        <w:spacing w:line="0" w:lineRule="atLeast"/>
        <w:rPr>
          <w:rFonts w:ascii="標楷體" w:eastAsia="標楷體" w:hAnsi="標楷體"/>
        </w:rPr>
      </w:pPr>
      <w:r>
        <w:rPr>
          <w:rFonts w:ascii="標楷體" w:eastAsia="標楷體" w:hAnsi="標楷體"/>
        </w:rPr>
        <w:t>資料變革：無。</w:t>
      </w:r>
    </w:p>
    <w:p w:rsidR="0055522B" w:rsidRDefault="000E5BF2">
      <w:pPr>
        <w:spacing w:line="0" w:lineRule="atLeast"/>
        <w:rPr>
          <w:rFonts w:ascii="標楷體" w:eastAsia="標楷體" w:hAnsi="標楷體"/>
        </w:rPr>
      </w:pPr>
      <w:r>
        <w:rPr>
          <w:rFonts w:ascii="標楷體" w:eastAsia="標楷體" w:hAnsi="標楷體"/>
        </w:rPr>
        <w:t>四、公開資料發布訊息</w:t>
      </w:r>
    </w:p>
    <w:p w:rsidR="0055522B" w:rsidRDefault="000E5BF2">
      <w:pPr>
        <w:numPr>
          <w:ilvl w:val="1"/>
          <w:numId w:val="1"/>
        </w:numPr>
        <w:spacing w:line="0" w:lineRule="atLeast"/>
        <w:rPr>
          <w:rFonts w:ascii="標楷體" w:eastAsia="標楷體" w:hAnsi="標楷體"/>
        </w:rPr>
      </w:pPr>
      <w:r>
        <w:rPr>
          <w:rFonts w:ascii="標楷體" w:eastAsia="標楷體" w:hAnsi="標楷體"/>
        </w:rPr>
        <w:t>預告發布日期：次年</w:t>
      </w:r>
      <w:r>
        <w:rPr>
          <w:rFonts w:ascii="標楷體" w:eastAsia="標楷體" w:hAnsi="標楷體"/>
        </w:rPr>
        <w:t>2</w:t>
      </w:r>
      <w:r>
        <w:rPr>
          <w:rFonts w:ascii="標楷體" w:eastAsia="標楷體" w:hAnsi="標楷體"/>
        </w:rPr>
        <w:t>月底。</w:t>
      </w:r>
      <w:r>
        <w:rPr>
          <w:rFonts w:ascii="標楷體" w:eastAsia="標楷體" w:hAnsi="標楷體"/>
        </w:rPr>
        <w:t>(</w:t>
      </w:r>
      <w:r>
        <w:rPr>
          <w:rFonts w:ascii="標楷體" w:eastAsia="標楷體" w:hAnsi="標楷體"/>
        </w:rPr>
        <w:t>原訂預告發布日期如遇例假日或國定假日則</w:t>
      </w:r>
    </w:p>
    <w:p w:rsidR="0055522B" w:rsidRDefault="000E5BF2">
      <w:pPr>
        <w:spacing w:line="0" w:lineRule="atLeast"/>
        <w:ind w:left="906"/>
        <w:rPr>
          <w:rFonts w:ascii="標楷體" w:eastAsia="標楷體" w:hAnsi="標楷體"/>
        </w:rPr>
      </w:pPr>
      <w:r>
        <w:rPr>
          <w:rFonts w:ascii="標楷體" w:eastAsia="標楷體" w:hAnsi="標楷體"/>
        </w:rPr>
        <w:t xml:space="preserve">              </w:t>
      </w:r>
      <w:r>
        <w:rPr>
          <w:rFonts w:ascii="標楷體" w:eastAsia="標楷體" w:hAnsi="標楷體"/>
        </w:rPr>
        <w:t>延至下一個工作日發布</w:t>
      </w:r>
      <w:r>
        <w:rPr>
          <w:rFonts w:ascii="標楷體" w:eastAsia="標楷體" w:hAnsi="標楷體"/>
        </w:rPr>
        <w:t>)</w:t>
      </w:r>
    </w:p>
    <w:p w:rsidR="0055522B" w:rsidRDefault="000E5BF2">
      <w:pPr>
        <w:numPr>
          <w:ilvl w:val="1"/>
          <w:numId w:val="1"/>
        </w:numPr>
        <w:spacing w:line="0" w:lineRule="atLeast"/>
      </w:pPr>
      <w:r>
        <w:rPr>
          <w:rFonts w:eastAsia="標楷體"/>
        </w:rPr>
        <w:t>同步發送</w:t>
      </w:r>
      <w:r>
        <w:rPr>
          <w:rFonts w:eastAsia="標楷體"/>
        </w:rPr>
        <w:t>單位：臺中市政府主計處</w:t>
      </w:r>
      <w:r>
        <w:rPr>
          <w:rFonts w:ascii="標楷體" w:eastAsia="標楷體" w:hAnsi="標楷體"/>
          <w:szCs w:val="24"/>
        </w:rPr>
        <w:t>。</w:t>
      </w:r>
    </w:p>
    <w:p w:rsidR="0055522B" w:rsidRDefault="000E5BF2">
      <w:pPr>
        <w:spacing w:line="0" w:lineRule="atLeast"/>
      </w:pPr>
      <w:r>
        <w:rPr>
          <w:rFonts w:eastAsia="標楷體"/>
        </w:rPr>
        <w:t>五</w:t>
      </w:r>
      <w:r>
        <w:rPr>
          <w:rFonts w:ascii="標楷體" w:eastAsia="標楷體" w:hAnsi="標楷體"/>
        </w:rPr>
        <w:t>、</w:t>
      </w:r>
      <w:r>
        <w:rPr>
          <w:rFonts w:eastAsia="標楷體"/>
        </w:rPr>
        <w:t>資料品質</w:t>
      </w:r>
    </w:p>
    <w:p w:rsidR="0055522B" w:rsidRDefault="000E5BF2">
      <w:pPr>
        <w:numPr>
          <w:ilvl w:val="1"/>
          <w:numId w:val="1"/>
        </w:numPr>
        <w:spacing w:line="0" w:lineRule="atLeast"/>
        <w:rPr>
          <w:rFonts w:ascii="標楷體" w:eastAsia="標楷體" w:hAnsi="標楷體"/>
        </w:rPr>
      </w:pPr>
      <w:r>
        <w:rPr>
          <w:rFonts w:ascii="標楷體" w:eastAsia="標楷體" w:hAnsi="標楷體"/>
        </w:rPr>
        <w:t>統計指標編製方法與資料來源說明：由本局農會輔導休閒農業科依據臺中市休閒農業統計記錄表之資料彙編。</w:t>
      </w:r>
    </w:p>
    <w:p w:rsidR="0055522B" w:rsidRDefault="000E5BF2">
      <w:pPr>
        <w:numPr>
          <w:ilvl w:val="1"/>
          <w:numId w:val="1"/>
        </w:numPr>
        <w:spacing w:line="0" w:lineRule="atLeast"/>
      </w:pPr>
      <w:r>
        <w:rPr>
          <w:rFonts w:ascii="標楷體" w:eastAsia="標楷體" w:hAnsi="標楷體"/>
        </w:rPr>
        <w:t>統計</w:t>
      </w:r>
      <w:r>
        <w:rPr>
          <w:rFonts w:eastAsia="標楷體"/>
        </w:rPr>
        <w:t>資料交叉查核及確保資料合理性之機制：農會輔導休閒農業科</w:t>
      </w:r>
      <w:r>
        <w:rPr>
          <w:rFonts w:ascii="標楷體" w:eastAsia="標楷體" w:hAnsi="標楷體"/>
        </w:rPr>
        <w:t>、會計室交叉查核確保資料合理性。</w:t>
      </w:r>
    </w:p>
    <w:p w:rsidR="0055522B" w:rsidRDefault="000E5BF2">
      <w:pPr>
        <w:spacing w:line="0" w:lineRule="atLeast"/>
      </w:pPr>
      <w:r>
        <w:rPr>
          <w:rFonts w:eastAsia="標楷體"/>
        </w:rPr>
        <w:t>六</w:t>
      </w:r>
      <w:r>
        <w:rPr>
          <w:rFonts w:ascii="標楷體" w:eastAsia="標楷體" w:hAnsi="標楷體"/>
        </w:rPr>
        <w:t>、</w:t>
      </w:r>
      <w:r>
        <w:rPr>
          <w:rFonts w:eastAsia="標楷體"/>
        </w:rPr>
        <w:t>須注意室預定改變之事項</w:t>
      </w:r>
      <w:r>
        <w:rPr>
          <w:rFonts w:ascii="標楷體" w:eastAsia="標楷體" w:hAnsi="標楷體"/>
        </w:rPr>
        <w:t>：表號</w:t>
      </w:r>
      <w:r>
        <w:rPr>
          <w:rFonts w:ascii="標楷體" w:eastAsia="標楷體" w:hAnsi="標楷體"/>
        </w:rPr>
        <w:t>20329-03-01-2</w:t>
      </w:r>
      <w:r>
        <w:rPr>
          <w:rFonts w:ascii="標楷體" w:eastAsia="標楷體" w:hAnsi="標楷體"/>
          <w:kern w:val="0"/>
        </w:rPr>
        <w:t>。</w:t>
      </w:r>
    </w:p>
    <w:p w:rsidR="0055522B" w:rsidRDefault="000E5BF2">
      <w:pPr>
        <w:spacing w:line="0" w:lineRule="atLeast"/>
      </w:pPr>
      <w:r>
        <w:rPr>
          <w:rFonts w:eastAsia="標楷體"/>
        </w:rPr>
        <w:t>七</w:t>
      </w:r>
      <w:r>
        <w:rPr>
          <w:rFonts w:ascii="標楷體" w:eastAsia="標楷體" w:hAnsi="標楷體"/>
        </w:rPr>
        <w:t>、</w:t>
      </w:r>
      <w:r>
        <w:rPr>
          <w:rFonts w:eastAsia="標楷體"/>
        </w:rPr>
        <w:t>其他事項：無</w:t>
      </w:r>
      <w:r>
        <w:rPr>
          <w:rFonts w:ascii="標楷體" w:eastAsia="標楷體" w:hAnsi="標楷體"/>
          <w:kern w:val="0"/>
        </w:rPr>
        <w:t>。</w:t>
      </w:r>
    </w:p>
    <w:sectPr w:rsidR="0055522B">
      <w:pgSz w:w="11906" w:h="16838"/>
      <w:pgMar w:top="1079" w:right="1466" w:bottom="680" w:left="1797"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0E5BF2">
      <w:r>
        <w:separator/>
      </w:r>
    </w:p>
  </w:endnote>
  <w:endnote w:type="continuationSeparator" w:id="0">
    <w:p w:rsidR="00000000" w:rsidRDefault="000E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 PGothic Medium JP">
    <w:altName w:val="Calibri"/>
    <w:charset w:val="00"/>
    <w:family w:val="modern"/>
    <w:pitch w:val="variable"/>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0E5BF2">
      <w:r>
        <w:rPr>
          <w:color w:val="000000"/>
        </w:rPr>
        <w:separator/>
      </w:r>
    </w:p>
  </w:footnote>
  <w:footnote w:type="continuationSeparator" w:id="0">
    <w:p w:rsidR="00000000" w:rsidRDefault="000E5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421D8"/>
    <w:multiLevelType w:val="multilevel"/>
    <w:tmpl w:val="112ABCD4"/>
    <w:lvl w:ilvl="0">
      <w:start w:val="1"/>
      <w:numFmt w:val="taiwaneseCountingThousand"/>
      <w:lvlText w:val="%1、"/>
      <w:lvlJc w:val="left"/>
      <w:pPr>
        <w:ind w:left="720" w:hanging="720"/>
      </w:pPr>
      <w:rPr>
        <w:rFonts w:ascii="標楷體" w:eastAsia="標楷體" w:hAnsi="標楷體"/>
      </w:rPr>
    </w:lvl>
    <w:lvl w:ilvl="1">
      <w:numFmt w:val="bullet"/>
      <w:lvlText w:val="*"/>
      <w:lvlJc w:val="left"/>
      <w:pPr>
        <w:ind w:left="906" w:hanging="480"/>
      </w:pPr>
      <w:rPr>
        <w:rFonts w:ascii="AR PGothic Medium JP" w:eastAsia="AR PGothic Medium JP" w:hAnsi="AR PGothic Medium JP"/>
        <w:color w:val="auto"/>
      </w:r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262638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5522B"/>
    <w:rsid w:val="000E5BF2"/>
    <w:rsid w:val="005552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001C8A0-84D1-4196-A801-24236B63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Plain Text"/>
    <w:basedOn w:val="a"/>
    <w:rPr>
      <w:rFonts w:ascii="細明體" w:eastAsia="細明體" w:hAnsi="細明體"/>
    </w:rPr>
  </w:style>
  <w:style w:type="paragraph" w:styleId="a5">
    <w:name w:val="header"/>
    <w:basedOn w:val="a"/>
    <w:pPr>
      <w:tabs>
        <w:tab w:val="center" w:pos="4153"/>
        <w:tab w:val="right" w:pos="8306"/>
      </w:tabs>
      <w:snapToGrid w:val="0"/>
    </w:pPr>
    <w:rPr>
      <w:sz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rPr>
  </w:style>
  <w:style w:type="character" w:customStyle="1" w:styleId="a8">
    <w:name w:val="頁尾 字元"/>
    <w:rPr>
      <w:kern w:val="3"/>
    </w:rPr>
  </w:style>
  <w:style w:type="paragraph" w:styleId="a9">
    <w:name w:val="Balloon Text"/>
    <w:basedOn w:val="a"/>
    <w:rPr>
      <w:rFonts w:ascii="Calibri Light" w:hAnsi="Calibri Light"/>
      <w:sz w:val="18"/>
      <w:szCs w:val="18"/>
    </w:rPr>
  </w:style>
  <w:style w:type="character" w:customStyle="1" w:styleId="aa">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臺北市地方總預算歲出用途別月報表統計資料背景說明</dc:title>
  <dc:subject/>
  <dc:creator>user</dc:creator>
  <cp:lastModifiedBy>cws</cp:lastModifiedBy>
  <cp:revision>2</cp:revision>
  <cp:lastPrinted>2015-06-05T02:42:00Z</cp:lastPrinted>
  <dcterms:created xsi:type="dcterms:W3CDTF">2023-12-06T03:32:00Z</dcterms:created>
  <dcterms:modified xsi:type="dcterms:W3CDTF">2023-12-06T03:32:00Z</dcterms:modified>
</cp:coreProperties>
</file>