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3"/>
        <w:tblW w:w="1016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290889" w:rsidRPr="005F73C9" w:rsidTr="00FA012C">
        <w:trPr>
          <w:trHeight w:val="14306"/>
        </w:trPr>
        <w:tc>
          <w:tcPr>
            <w:tcW w:w="10169" w:type="dxa"/>
          </w:tcPr>
          <w:p w:rsidR="00290889" w:rsidRPr="005F73C9" w:rsidRDefault="00290889" w:rsidP="00D538D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5F73C9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290889" w:rsidRPr="005F73C9" w:rsidRDefault="00290889" w:rsidP="00D538DF">
            <w:pPr>
              <w:spacing w:line="360" w:lineRule="exact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資料種類：天然災害統計</w:t>
            </w:r>
          </w:p>
          <w:p w:rsidR="00290889" w:rsidRPr="005F73C9" w:rsidRDefault="00290889" w:rsidP="00D538DF">
            <w:pPr>
              <w:spacing w:line="360" w:lineRule="exact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資料項目：</w:t>
            </w:r>
            <w:proofErr w:type="gramStart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臺</w:t>
            </w:r>
            <w:proofErr w:type="gramEnd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中市</w:t>
            </w:r>
            <w:r w:rsidR="009716E1" w:rsidRPr="009716E1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區天然災害禦潮</w:t>
            </w:r>
            <w:r w:rsidRPr="005F73C9">
              <w:rPr>
                <w:bCs/>
                <w:spacing w:val="-4"/>
                <w:sz w:val="28"/>
                <w:szCs w:val="28"/>
              </w:rPr>
              <w:t>(</w:t>
            </w:r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海堤</w:t>
            </w:r>
            <w:r w:rsidRPr="005F73C9">
              <w:rPr>
                <w:bCs/>
                <w:spacing w:val="-4"/>
                <w:sz w:val="28"/>
                <w:szCs w:val="28"/>
              </w:rPr>
              <w:t>)</w:t>
            </w:r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受損情形</w:t>
            </w:r>
          </w:p>
          <w:p w:rsidR="00290889" w:rsidRPr="005F73C9" w:rsidRDefault="00290889" w:rsidP="00D538DF">
            <w:pPr>
              <w:spacing w:line="360" w:lineRule="exact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一、發布及編製機關單位</w:t>
            </w:r>
          </w:p>
          <w:p w:rsidR="00290889" w:rsidRPr="005F73C9" w:rsidRDefault="00290889" w:rsidP="00D538D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proofErr w:type="gramStart"/>
            <w:r w:rsidRPr="005F73C9">
              <w:rPr>
                <w:rFonts w:hint="eastAsia"/>
                <w:spacing w:val="-4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pacing w:val="-4"/>
                <w:sz w:val="28"/>
              </w:rPr>
              <w:t>發布機關、單位：</w:t>
            </w:r>
            <w:proofErr w:type="gramStart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臺</w:t>
            </w:r>
            <w:proofErr w:type="gramEnd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中市</w:t>
            </w:r>
            <w:r w:rsidR="009716E1" w:rsidRPr="009716E1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區公所會計室</w:t>
            </w:r>
          </w:p>
          <w:p w:rsidR="00290889" w:rsidRPr="005F73C9" w:rsidRDefault="00290889" w:rsidP="00D538DF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編製單位：</w:t>
            </w:r>
            <w:proofErr w:type="gramStart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臺</w:t>
            </w:r>
            <w:proofErr w:type="gramEnd"/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中市</w:t>
            </w:r>
            <w:r w:rsidR="009716E1" w:rsidRPr="009716E1">
              <w:rPr>
                <w:rFonts w:ascii="Times New Roman" w:hAnsi="Times New Roman" w:hint="eastAsia"/>
                <w:sz w:val="28"/>
                <w:szCs w:val="28"/>
              </w:rPr>
              <w:t>北屯</w:t>
            </w:r>
            <w:r w:rsidRPr="005F73C9">
              <w:rPr>
                <w:rFonts w:hint="eastAsia"/>
                <w:bCs/>
                <w:spacing w:val="-4"/>
                <w:sz w:val="28"/>
                <w:szCs w:val="28"/>
              </w:rPr>
              <w:t>區公所</w:t>
            </w:r>
            <w:r w:rsidR="009716E1" w:rsidRPr="009716E1">
              <w:rPr>
                <w:rFonts w:ascii="Times New Roman" w:hAnsi="Times New Roman" w:hint="eastAsia"/>
                <w:sz w:val="28"/>
                <w:szCs w:val="28"/>
              </w:rPr>
              <w:t>農業及建設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課</w:t>
            </w:r>
          </w:p>
          <w:p w:rsidR="00290889" w:rsidRPr="005F73C9" w:rsidRDefault="00290889" w:rsidP="00022533">
            <w:pPr>
              <w:spacing w:line="400" w:lineRule="exact"/>
              <w:ind w:leftChars="119" w:left="482" w:hangingChars="70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＊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聯絡電話：</w:t>
            </w:r>
            <w:r w:rsidRPr="00DD5E12">
              <w:rPr>
                <w:rFonts w:ascii="Times New Roman" w:hAnsi="Times New Roman"/>
                <w:sz w:val="28"/>
                <w:szCs w:val="28"/>
              </w:rPr>
              <w:t>04-</w:t>
            </w:r>
            <w:r w:rsidR="009716E1" w:rsidRPr="00DD5E12">
              <w:rPr>
                <w:rFonts w:ascii="Times New Roman" w:hAnsi="Times New Roman"/>
                <w:sz w:val="28"/>
                <w:szCs w:val="28"/>
              </w:rPr>
              <w:t>24606</w:t>
            </w:r>
            <w:r w:rsidR="00B65FB6">
              <w:rPr>
                <w:rFonts w:ascii="Times New Roman" w:hAnsi="Times New Roman" w:hint="eastAsia"/>
                <w:sz w:val="28"/>
                <w:szCs w:val="28"/>
              </w:rPr>
              <w:t>143</w:t>
            </w:r>
          </w:p>
          <w:p w:rsidR="00290889" w:rsidRPr="005F73C9" w:rsidRDefault="00290889" w:rsidP="00022533">
            <w:pPr>
              <w:spacing w:line="400" w:lineRule="exact"/>
              <w:ind w:leftChars="119" w:left="482" w:hangingChars="70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＊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傳真：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04-</w:t>
            </w:r>
            <w:r w:rsidR="009716E1" w:rsidRPr="009716E1">
              <w:rPr>
                <w:rFonts w:ascii="Times New Roman" w:hAnsi="Times New Roman"/>
                <w:sz w:val="28"/>
                <w:szCs w:val="28"/>
              </w:rPr>
              <w:t>24606097</w:t>
            </w:r>
          </w:p>
          <w:p w:rsidR="00290889" w:rsidRPr="00506633" w:rsidRDefault="00290889" w:rsidP="002B7772">
            <w:pPr>
              <w:spacing w:line="360" w:lineRule="exact"/>
              <w:ind w:left="720" w:hanging="426"/>
              <w:jc w:val="both"/>
              <w:rPr>
                <w:color w:val="FF0000"/>
                <w:sz w:val="28"/>
              </w:rPr>
            </w:pPr>
            <w:r w:rsidRPr="005F73C9">
              <w:rPr>
                <w:rFonts w:ascii="Times New Roman" w:hAnsi="Times New Roman" w:hint="eastAsia"/>
                <w:sz w:val="28"/>
                <w:szCs w:val="28"/>
              </w:rPr>
              <w:t>＊電子信箱：</w:t>
            </w:r>
            <w:r w:rsidR="00B65FB6" w:rsidRPr="00B65FB6">
              <w:rPr>
                <w:rFonts w:ascii="Times New Roman" w:hAnsi="Times New Roman"/>
                <w:sz w:val="28"/>
                <w:szCs w:val="28"/>
              </w:rPr>
              <w:t>annxe</w:t>
            </w:r>
            <w:bookmarkStart w:id="0" w:name="_GoBack"/>
            <w:bookmarkEnd w:id="0"/>
            <w:r w:rsidR="00506633" w:rsidRPr="00DD5E12">
              <w:rPr>
                <w:rFonts w:ascii="Times New Roman" w:hAnsi="Times New Roman"/>
                <w:sz w:val="28"/>
                <w:szCs w:val="28"/>
              </w:rPr>
              <w:t>@taichung.gov.tw</w:t>
            </w:r>
          </w:p>
          <w:p w:rsidR="00290889" w:rsidRPr="005F73C9" w:rsidRDefault="00290889" w:rsidP="00D538D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二、發布形式</w:t>
            </w:r>
          </w:p>
          <w:p w:rsidR="00290889" w:rsidRPr="005F73C9" w:rsidRDefault="00290889" w:rsidP="00D538DF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口頭：</w:t>
            </w:r>
          </w:p>
          <w:p w:rsidR="00290889" w:rsidRPr="005F73C9" w:rsidRDefault="00290889" w:rsidP="00D538DF">
            <w:pPr>
              <w:spacing w:line="360" w:lineRule="exact"/>
              <w:jc w:val="both"/>
              <w:rPr>
                <w:sz w:val="28"/>
              </w:rPr>
            </w:pPr>
            <w:r w:rsidRPr="005F73C9">
              <w:rPr>
                <w:sz w:val="28"/>
              </w:rPr>
              <w:t xml:space="preserve">         </w:t>
            </w: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）記者會或說明會</w:t>
            </w:r>
          </w:p>
          <w:p w:rsidR="00290889" w:rsidRPr="005F73C9" w:rsidRDefault="00290889" w:rsidP="00D538DF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書面：</w:t>
            </w:r>
          </w:p>
          <w:p w:rsidR="00290889" w:rsidRPr="005F73C9" w:rsidRDefault="00290889" w:rsidP="00D538D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5F73C9">
              <w:rPr>
                <w:sz w:val="28"/>
              </w:rPr>
              <w:t xml:space="preserve">       </w:t>
            </w: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）新聞稿</w:t>
            </w:r>
            <w:r w:rsidRPr="005F73C9">
              <w:rPr>
                <w:sz w:val="28"/>
              </w:rPr>
              <w:t xml:space="preserve">   </w:t>
            </w:r>
            <w:r w:rsidRPr="005F73C9">
              <w:rPr>
                <w:rFonts w:hint="eastAsia"/>
                <w:sz w:val="28"/>
              </w:rPr>
              <w:t>（</w:t>
            </w:r>
            <w:r w:rsidR="008534AB">
              <w:rPr>
                <w:rFonts w:hint="eastAsia"/>
                <w:sz w:val="28"/>
              </w:rPr>
              <w:t>V</w:t>
            </w:r>
            <w:r w:rsidRPr="005F73C9">
              <w:rPr>
                <w:rFonts w:hint="eastAsia"/>
                <w:sz w:val="28"/>
              </w:rPr>
              <w:t>）報表</w:t>
            </w:r>
            <w:r w:rsidRPr="005F73C9">
              <w:rPr>
                <w:sz w:val="28"/>
              </w:rPr>
              <w:t xml:space="preserve">  </w:t>
            </w: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）書刊，刊名：</w:t>
            </w:r>
          </w:p>
          <w:p w:rsidR="00290889" w:rsidRPr="005F73C9" w:rsidRDefault="00290889" w:rsidP="00D538DF">
            <w:pPr>
              <w:spacing w:line="360" w:lineRule="exact"/>
              <w:ind w:left="294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電子媒體：</w:t>
            </w:r>
          </w:p>
          <w:p w:rsidR="00290889" w:rsidRPr="005F73C9" w:rsidRDefault="00290889" w:rsidP="007D6750">
            <w:pPr>
              <w:spacing w:line="360" w:lineRule="exact"/>
              <w:ind w:left="966" w:right="-328" w:hanging="294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>V</w:t>
            </w:r>
            <w:r w:rsidRPr="005F73C9">
              <w:rPr>
                <w:rFonts w:hint="eastAsia"/>
                <w:sz w:val="28"/>
              </w:rPr>
              <w:t>）</w:t>
            </w:r>
            <w:proofErr w:type="gramStart"/>
            <w:r w:rsidRPr="005F73C9">
              <w:rPr>
                <w:rFonts w:hint="eastAsia"/>
                <w:sz w:val="28"/>
              </w:rPr>
              <w:t>線上書刊</w:t>
            </w:r>
            <w:proofErr w:type="gramEnd"/>
            <w:r w:rsidRPr="005F73C9">
              <w:rPr>
                <w:rFonts w:hint="eastAsia"/>
                <w:sz w:val="28"/>
              </w:rPr>
              <w:t>及資料庫，網址</w:t>
            </w:r>
            <w:r w:rsidRPr="005F73C9">
              <w:rPr>
                <w:sz w:val="28"/>
              </w:rPr>
              <w:t>:</w:t>
            </w:r>
          </w:p>
          <w:p w:rsidR="00CC5555" w:rsidRPr="00CC5555" w:rsidRDefault="00894448" w:rsidP="00D538DF">
            <w:pPr>
              <w:spacing w:line="360" w:lineRule="exact"/>
              <w:ind w:left="966" w:right="-328" w:hanging="294"/>
              <w:jc w:val="both"/>
              <w:rPr>
                <w:szCs w:val="24"/>
              </w:rPr>
            </w:pPr>
            <w:hyperlink r:id="rId8" w:history="1">
              <w:r w:rsidR="00CC5555" w:rsidRPr="00CC5555">
                <w:rPr>
                  <w:rStyle w:val="af2"/>
                  <w:szCs w:val="24"/>
                </w:rPr>
                <w:t>http://govstat.taichung.gov.tw/TCSTAT/Page/kcg01_2.aspx?Mid1=387580000A</w:t>
              </w:r>
            </w:hyperlink>
          </w:p>
          <w:p w:rsidR="00290889" w:rsidRPr="005F73C9" w:rsidRDefault="00290889" w:rsidP="00D538D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）磁片</w:t>
            </w:r>
            <w:r w:rsidRPr="005F73C9">
              <w:rPr>
                <w:sz w:val="28"/>
              </w:rPr>
              <w:t xml:space="preserve">   </w:t>
            </w: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）光碟片</w:t>
            </w:r>
            <w:r w:rsidRPr="005F73C9">
              <w:rPr>
                <w:sz w:val="28"/>
              </w:rPr>
              <w:t xml:space="preserve">  </w:t>
            </w:r>
            <w:r w:rsidRPr="005F73C9">
              <w:rPr>
                <w:rFonts w:hint="eastAsia"/>
                <w:sz w:val="28"/>
              </w:rPr>
              <w:t>（</w:t>
            </w:r>
            <w:r w:rsidRPr="005F73C9">
              <w:rPr>
                <w:sz w:val="28"/>
              </w:rPr>
              <w:t xml:space="preserve"> </w:t>
            </w:r>
            <w:r w:rsidRPr="005F73C9">
              <w:rPr>
                <w:rFonts w:hint="eastAsia"/>
                <w:sz w:val="28"/>
              </w:rPr>
              <w:t>）其他</w:t>
            </w:r>
          </w:p>
          <w:p w:rsidR="00290889" w:rsidRPr="005F73C9" w:rsidRDefault="00290889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三、資料範圍、週期及時效</w:t>
            </w:r>
          </w:p>
          <w:p w:rsidR="00290889" w:rsidRPr="005F73C9" w:rsidRDefault="00290889" w:rsidP="006426B0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統計地區範圍及對象：</w:t>
            </w:r>
          </w:p>
          <w:p w:rsidR="00290889" w:rsidRPr="005F73C9" w:rsidRDefault="00290889" w:rsidP="00022533">
            <w:pPr>
              <w:spacing w:line="360" w:lineRule="exact"/>
              <w:ind w:leftChars="200" w:left="1040" w:hangingChars="200" w:hanging="560"/>
              <w:jc w:val="both"/>
              <w:rPr>
                <w:sz w:val="28"/>
              </w:rPr>
            </w:pPr>
            <w:r w:rsidRPr="005F73C9">
              <w:rPr>
                <w:sz w:val="28"/>
              </w:rPr>
              <w:t>(</w:t>
            </w:r>
            <w:proofErr w:type="gramStart"/>
            <w:r w:rsidRPr="005F73C9">
              <w:rPr>
                <w:rFonts w:hint="eastAsia"/>
                <w:sz w:val="28"/>
              </w:rPr>
              <w:t>一</w:t>
            </w:r>
            <w:proofErr w:type="gramEnd"/>
            <w:r w:rsidRPr="005F73C9">
              <w:rPr>
                <w:sz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凡所有海堤之各項禦潮工程設施受災損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毀均為統計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對象。</w:t>
            </w:r>
          </w:p>
          <w:p w:rsidR="00290889" w:rsidRPr="005F73C9" w:rsidRDefault="00290889" w:rsidP="00022533">
            <w:pPr>
              <w:spacing w:line="360" w:lineRule="exact"/>
              <w:ind w:leftChars="200" w:left="1040" w:hangingChars="200" w:hanging="560"/>
              <w:jc w:val="both"/>
              <w:rPr>
                <w:sz w:val="28"/>
              </w:rPr>
            </w:pPr>
            <w:r w:rsidRPr="005F73C9">
              <w:rPr>
                <w:sz w:val="28"/>
              </w:rPr>
              <w:t>(</w:t>
            </w:r>
            <w:r w:rsidRPr="005F73C9">
              <w:rPr>
                <w:rFonts w:hint="eastAsia"/>
                <w:sz w:val="28"/>
              </w:rPr>
              <w:t>二</w:t>
            </w:r>
            <w:r w:rsidRPr="005F73C9">
              <w:rPr>
                <w:sz w:val="28"/>
              </w:rPr>
              <w:t>)</w:t>
            </w:r>
            <w:r w:rsidRPr="005F73C9">
              <w:rPr>
                <w:rFonts w:hint="eastAsia"/>
                <w:sz w:val="28"/>
              </w:rPr>
              <w:t>各單位所報工程設施</w:t>
            </w:r>
            <w:proofErr w:type="gramStart"/>
            <w:r w:rsidRPr="005F73C9">
              <w:rPr>
                <w:rFonts w:hint="eastAsia"/>
                <w:sz w:val="28"/>
              </w:rPr>
              <w:t>損毀數包括</w:t>
            </w:r>
            <w:proofErr w:type="gramEnd"/>
            <w:r w:rsidRPr="005F73C9">
              <w:rPr>
                <w:rFonts w:hint="eastAsia"/>
                <w:sz w:val="28"/>
              </w:rPr>
              <w:t>施工中之工程，但以當年度所發生之災害為限。凡屬年久失修之設施物，即非屬當年度災害損毀者，均不予列報。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統計標準時間：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以每年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1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1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12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月底之事實為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準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統計項目定義：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一</w:t>
            </w:r>
            <w:proofErr w:type="gramEnd"/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災害種類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災害名稱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：係指地震災害、颱風災害、水患災害、乾旱災害及其他天然災害之名稱。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二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災害時間：係指災害發生日期。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三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海堤：沿海築堤謂之，為保護沿海岸之低地以防潮水浸入與巨浪海嘯侵襲之建築；並包含建於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沿海感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潮範圍內之河口防潮堤。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四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離岸堤：乃一離開陸地，平行海岸而獨立於海中用以抵禦波浪侵襲，消滅波浪能量，以求堤內遮蔽靜海面之結構物。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五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海岸保護工：在海堤前灘擺放具備有孔隙率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及糙率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，以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達到消殺波浪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能量之</w:t>
            </w:r>
            <w:proofErr w:type="gramStart"/>
            <w:r w:rsidRPr="005F73C9">
              <w:rPr>
                <w:rFonts w:ascii="Times New Roman" w:hAnsi="Times New Roman" w:hint="eastAsia"/>
                <w:sz w:val="28"/>
                <w:szCs w:val="28"/>
              </w:rPr>
              <w:t>天然塊</w:t>
            </w:r>
            <w:proofErr w:type="gramEnd"/>
            <w:r w:rsidRPr="005F73C9">
              <w:rPr>
                <w:rFonts w:ascii="Times New Roman" w:hAnsi="Times New Roman" w:hint="eastAsia"/>
                <w:sz w:val="28"/>
                <w:szCs w:val="28"/>
              </w:rPr>
              <w:t>石或混凝土波塊之結構物。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六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水門：視禦潮海堤水位高度關閉閘門以阻斷倒灌情形發生之構造物。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七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表中未列名之工程設施項目填入「其他」欄，並附註說明。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="1120" w:hangingChars="400" w:hanging="1120"/>
              <w:rPr>
                <w:rFonts w:ascii="Times New Roman" w:hAnsi="Times New Roman"/>
                <w:sz w:val="28"/>
                <w:szCs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八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搶修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搶險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：在受災當時或災害發生前，為搶救某項工程設施，使不致流失之臨時權宜措施。</w:t>
            </w:r>
          </w:p>
          <w:p w:rsidR="00290889" w:rsidRPr="005F73C9" w:rsidRDefault="00290889" w:rsidP="00022533">
            <w:pPr>
              <w:spacing w:line="400" w:lineRule="exact"/>
              <w:ind w:left="1120" w:hangingChars="400" w:hanging="1120"/>
              <w:jc w:val="both"/>
              <w:rPr>
                <w:sz w:val="28"/>
              </w:rPr>
            </w:pPr>
            <w:r w:rsidRPr="005F7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(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九</w:t>
            </w:r>
            <w:r w:rsidRPr="005F73C9">
              <w:rPr>
                <w:rFonts w:ascii="Times New Roman" w:hAnsi="Times New Roman"/>
                <w:sz w:val="28"/>
                <w:szCs w:val="28"/>
              </w:rPr>
              <w:t>)</w:t>
            </w:r>
            <w:r w:rsidRPr="005F73C9">
              <w:rPr>
                <w:rFonts w:ascii="Times New Roman" w:hAnsi="Times New Roman" w:hint="eastAsia"/>
                <w:sz w:val="28"/>
                <w:szCs w:val="28"/>
              </w:rPr>
              <w:t>復建：受災害損毀之工程設施，經施工修建，使恢復原狀及其功能者。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統計單位：公尺、座、處、新臺幣千元</w:t>
            </w:r>
          </w:p>
          <w:p w:rsidR="00290889" w:rsidRPr="005F73C9" w:rsidRDefault="00290889" w:rsidP="001054A2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統計分類：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Chars="250" w:left="2560" w:hangingChars="700" w:hanging="1960"/>
              <w:rPr>
                <w:sz w:val="28"/>
              </w:rPr>
            </w:pPr>
            <w:r w:rsidRPr="005F73C9">
              <w:rPr>
                <w:sz w:val="28"/>
              </w:rPr>
              <w:t>(</w:t>
            </w:r>
            <w:proofErr w:type="gramStart"/>
            <w:r w:rsidRPr="005F73C9">
              <w:rPr>
                <w:rFonts w:hint="eastAsia"/>
                <w:sz w:val="28"/>
              </w:rPr>
              <w:t>一</w:t>
            </w:r>
            <w:proofErr w:type="gramEnd"/>
            <w:r w:rsidRPr="005F73C9">
              <w:rPr>
                <w:sz w:val="28"/>
              </w:rPr>
              <w:t>)</w:t>
            </w:r>
            <w:proofErr w:type="gramStart"/>
            <w:r w:rsidRPr="005F73C9">
              <w:rPr>
                <w:rFonts w:hint="eastAsia"/>
                <w:sz w:val="28"/>
              </w:rPr>
              <w:t>縱行科目</w:t>
            </w:r>
            <w:proofErr w:type="gramEnd"/>
            <w:r w:rsidRPr="005F73C9">
              <w:rPr>
                <w:rFonts w:hint="eastAsia"/>
                <w:sz w:val="28"/>
              </w:rPr>
              <w:t>：分為災害時間、設施地點、設施名稱、受損情形、預估經費等項。受損情形再分為海堤、離岸堤、海岸保護工、水門、其他；預估經費再分為總計、搶修</w:t>
            </w:r>
            <w:r w:rsidRPr="005F73C9">
              <w:rPr>
                <w:sz w:val="28"/>
              </w:rPr>
              <w:t>(</w:t>
            </w:r>
            <w:r w:rsidRPr="005F73C9">
              <w:rPr>
                <w:rFonts w:hint="eastAsia"/>
                <w:sz w:val="28"/>
              </w:rPr>
              <w:t>搶險</w:t>
            </w:r>
            <w:r w:rsidRPr="005F73C9">
              <w:rPr>
                <w:sz w:val="28"/>
              </w:rPr>
              <w:t>)</w:t>
            </w:r>
            <w:r w:rsidRPr="005F73C9">
              <w:rPr>
                <w:rFonts w:hint="eastAsia"/>
                <w:sz w:val="28"/>
              </w:rPr>
              <w:t>、復建。</w:t>
            </w:r>
          </w:p>
          <w:p w:rsidR="00290889" w:rsidRPr="005F73C9" w:rsidRDefault="00290889" w:rsidP="00022533">
            <w:pPr>
              <w:snapToGrid w:val="0"/>
              <w:spacing w:line="400" w:lineRule="exact"/>
              <w:ind w:leftChars="250" w:left="2560" w:hangingChars="700" w:hanging="1960"/>
              <w:rPr>
                <w:sz w:val="28"/>
              </w:rPr>
            </w:pPr>
            <w:r w:rsidRPr="005F73C9">
              <w:rPr>
                <w:sz w:val="28"/>
              </w:rPr>
              <w:t>(</w:t>
            </w:r>
            <w:r w:rsidRPr="005F73C9">
              <w:rPr>
                <w:rFonts w:hint="eastAsia"/>
                <w:sz w:val="28"/>
              </w:rPr>
              <w:t>二</w:t>
            </w:r>
            <w:r w:rsidRPr="005F73C9">
              <w:rPr>
                <w:sz w:val="28"/>
              </w:rPr>
              <w:t>)</w:t>
            </w:r>
            <w:r w:rsidRPr="005F73C9">
              <w:rPr>
                <w:rFonts w:hint="eastAsia"/>
                <w:sz w:val="28"/>
              </w:rPr>
              <w:t>橫列科目：依災害種類</w:t>
            </w:r>
            <w:r w:rsidRPr="005F73C9">
              <w:rPr>
                <w:sz w:val="28"/>
              </w:rPr>
              <w:t>(</w:t>
            </w:r>
            <w:r w:rsidRPr="005F73C9">
              <w:rPr>
                <w:rFonts w:hint="eastAsia"/>
                <w:sz w:val="28"/>
              </w:rPr>
              <w:t>災害名稱</w:t>
            </w:r>
            <w:r w:rsidRPr="005F73C9">
              <w:rPr>
                <w:sz w:val="28"/>
              </w:rPr>
              <w:t>)</w:t>
            </w:r>
            <w:r w:rsidRPr="005F73C9">
              <w:rPr>
                <w:rFonts w:hint="eastAsia"/>
                <w:sz w:val="28"/>
              </w:rPr>
              <w:t>分類，包括地震災害、颱風災害、水患災害、乾旱災害及其他天然災害之名稱。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發布週期：年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時效：</w:t>
            </w:r>
            <w:r w:rsidRPr="005F73C9">
              <w:rPr>
                <w:sz w:val="28"/>
              </w:rPr>
              <w:t>15</w:t>
            </w:r>
            <w:r w:rsidRPr="005F73C9">
              <w:rPr>
                <w:rFonts w:hint="eastAsia"/>
                <w:sz w:val="28"/>
              </w:rPr>
              <w:t>日</w:t>
            </w:r>
          </w:p>
          <w:p w:rsidR="00290889" w:rsidRPr="005F73C9" w:rsidRDefault="00290889" w:rsidP="00D538DF">
            <w:pPr>
              <w:spacing w:line="360" w:lineRule="exact"/>
              <w:ind w:firstLine="280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資料變革：無</w:t>
            </w:r>
          </w:p>
          <w:p w:rsidR="00290889" w:rsidRPr="005F73C9" w:rsidRDefault="00290889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四、公開資料發布訊息</w:t>
            </w:r>
          </w:p>
          <w:p w:rsidR="00290889" w:rsidRPr="005F73C9" w:rsidRDefault="00290889" w:rsidP="00D538D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預告發布日期：每年終了</w:t>
            </w:r>
            <w:r w:rsidRPr="005F73C9">
              <w:rPr>
                <w:sz w:val="28"/>
              </w:rPr>
              <w:t>15</w:t>
            </w:r>
            <w:r w:rsidRPr="005F73C9">
              <w:rPr>
                <w:rFonts w:hint="eastAsia"/>
                <w:sz w:val="28"/>
              </w:rPr>
              <w:t>日。</w:t>
            </w:r>
            <w:r w:rsidRPr="005F73C9">
              <w:rPr>
                <w:sz w:val="28"/>
              </w:rPr>
              <w:t>(</w:t>
            </w:r>
            <w:r w:rsidRPr="005F73C9">
              <w:rPr>
                <w:rFonts w:hint="eastAsia"/>
                <w:sz w:val="28"/>
              </w:rPr>
              <w:t>原訂預告發布日期如遇例假日或國定假日則延至下一個工作日發布</w:t>
            </w:r>
            <w:r w:rsidRPr="005F73C9">
              <w:rPr>
                <w:sz w:val="28"/>
              </w:rPr>
              <w:t>)</w:t>
            </w:r>
          </w:p>
          <w:p w:rsidR="00290889" w:rsidRPr="005F73C9" w:rsidRDefault="00290889" w:rsidP="00D538D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＊同步發送單位：</w:t>
            </w:r>
            <w:r w:rsidR="00095121">
              <w:rPr>
                <w:rFonts w:hAnsi="標楷體" w:hint="eastAsia"/>
                <w:sz w:val="28"/>
                <w:szCs w:val="28"/>
              </w:rPr>
              <w:t>臺中市政府主計處。</w:t>
            </w:r>
          </w:p>
          <w:p w:rsidR="00290889" w:rsidRPr="005F73C9" w:rsidRDefault="00290889" w:rsidP="00D538D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五、資料品質</w:t>
            </w:r>
          </w:p>
          <w:p w:rsidR="00DD5E12" w:rsidRDefault="00290889" w:rsidP="00DD5E12">
            <w:pPr>
              <w:spacing w:line="360" w:lineRule="exact"/>
              <w:ind w:firstLine="252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統計指標編製方法與資料來源說明：</w:t>
            </w:r>
            <w:r w:rsidR="006B17A6">
              <w:rPr>
                <w:rFonts w:ascii="Times New Roman" w:hAnsi="Times New Roman" w:hint="eastAsia"/>
                <w:kern w:val="0"/>
                <w:sz w:val="28"/>
                <w:szCs w:val="28"/>
              </w:rPr>
              <w:t>本所</w:t>
            </w:r>
            <w:r w:rsidR="006B17A6">
              <w:rPr>
                <w:rFonts w:hAnsi="標楷體" w:hint="eastAsia"/>
                <w:kern w:val="0"/>
                <w:sz w:val="28"/>
                <w:szCs w:val="28"/>
              </w:rPr>
              <w:t>農業</w:t>
            </w:r>
            <w:r w:rsidR="00DD5E12">
              <w:rPr>
                <w:rFonts w:hAnsi="標楷體" w:hint="eastAsia"/>
                <w:kern w:val="0"/>
                <w:sz w:val="28"/>
                <w:szCs w:val="28"/>
              </w:rPr>
              <w:t>及</w:t>
            </w:r>
            <w:r w:rsidR="006B17A6">
              <w:rPr>
                <w:rFonts w:hAnsi="標楷體" w:hint="eastAsia"/>
                <w:kern w:val="0"/>
                <w:sz w:val="28"/>
                <w:szCs w:val="28"/>
              </w:rPr>
              <w:t>建設課依據</w:t>
            </w:r>
            <w:r w:rsidR="006B17A6">
              <w:rPr>
                <w:rFonts w:ascii="Times New Roman" w:hAnsi="Times New Roman" w:hint="eastAsia"/>
                <w:kern w:val="0"/>
                <w:sz w:val="28"/>
                <w:szCs w:val="28"/>
              </w:rPr>
              <w:t>災害搶修搶險工程</w:t>
            </w:r>
            <w:r w:rsidR="00DD5E12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290889" w:rsidRPr="00DD5E12" w:rsidRDefault="00DD5E12" w:rsidP="00DD5E12">
            <w:pPr>
              <w:spacing w:line="360" w:lineRule="exact"/>
              <w:ind w:firstLine="252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="006B17A6">
              <w:rPr>
                <w:rFonts w:ascii="Times New Roman" w:hAnsi="Times New Roman" w:hint="eastAsia"/>
                <w:kern w:val="0"/>
                <w:sz w:val="28"/>
                <w:szCs w:val="28"/>
              </w:rPr>
              <w:t>決算書資料編製。</w:t>
            </w:r>
          </w:p>
          <w:p w:rsidR="00290889" w:rsidRPr="005F73C9" w:rsidRDefault="00290889" w:rsidP="00D538D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proofErr w:type="gramStart"/>
            <w:r w:rsidRPr="005F73C9">
              <w:rPr>
                <w:rFonts w:hint="eastAsia"/>
                <w:sz w:val="28"/>
              </w:rPr>
              <w:t>＊</w:t>
            </w:r>
            <w:proofErr w:type="gramEnd"/>
            <w:r w:rsidRPr="005F73C9">
              <w:rPr>
                <w:rFonts w:hint="eastAsia"/>
                <w:sz w:val="28"/>
              </w:rPr>
              <w:t>統計資料交叉查核及確保資料合理性之機制：</w:t>
            </w:r>
            <w:r w:rsidRPr="005F73C9">
              <w:rPr>
                <w:rFonts w:hint="eastAsia"/>
                <w:sz w:val="28"/>
                <w:szCs w:val="28"/>
              </w:rPr>
              <w:t>由電腦系統自動進行加總交叉查核。</w:t>
            </w:r>
          </w:p>
          <w:p w:rsidR="00290889" w:rsidRPr="005F73C9" w:rsidRDefault="00290889" w:rsidP="00D538DF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 w:rsidRPr="005F73C9">
              <w:rPr>
                <w:rFonts w:hint="eastAsia"/>
                <w:sz w:val="28"/>
              </w:rPr>
              <w:t>六、須注意及預定改變之事項：</w:t>
            </w:r>
            <w:proofErr w:type="gramStart"/>
            <w:r w:rsidRPr="005F73C9">
              <w:rPr>
                <w:rFonts w:hint="eastAsia"/>
                <w:sz w:val="28"/>
              </w:rPr>
              <w:t>表號</w:t>
            </w:r>
            <w:proofErr w:type="gramEnd"/>
            <w:r w:rsidRPr="005F73C9">
              <w:rPr>
                <w:sz w:val="28"/>
              </w:rPr>
              <w:t xml:space="preserve"> 11260-90-02-3</w:t>
            </w:r>
          </w:p>
          <w:p w:rsidR="00290889" w:rsidRPr="005F73C9" w:rsidRDefault="00290889" w:rsidP="00D538DF">
            <w:pPr>
              <w:spacing w:before="240" w:line="360" w:lineRule="exact"/>
              <w:ind w:left="600" w:hanging="600"/>
              <w:jc w:val="both"/>
            </w:pPr>
            <w:r w:rsidRPr="005F73C9">
              <w:rPr>
                <w:rFonts w:hint="eastAsia"/>
                <w:sz w:val="28"/>
              </w:rPr>
              <w:t>七、其他事項：無</w:t>
            </w:r>
          </w:p>
        </w:tc>
      </w:tr>
    </w:tbl>
    <w:p w:rsidR="00290889" w:rsidRPr="005F73C9" w:rsidRDefault="00290889" w:rsidP="00D538DF"/>
    <w:sectPr w:rsidR="00290889" w:rsidRPr="005F73C9" w:rsidSect="00D538DF">
      <w:headerReference w:type="default" r:id="rId9"/>
      <w:pgSz w:w="11906" w:h="16838"/>
      <w:pgMar w:top="794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8" w:rsidRDefault="00894448" w:rsidP="004C6E3D">
      <w:r>
        <w:separator/>
      </w:r>
    </w:p>
  </w:endnote>
  <w:endnote w:type="continuationSeparator" w:id="0">
    <w:p w:rsidR="00894448" w:rsidRDefault="00894448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8" w:rsidRDefault="00894448" w:rsidP="004C6E3D">
      <w:r>
        <w:separator/>
      </w:r>
    </w:p>
  </w:footnote>
  <w:footnote w:type="continuationSeparator" w:id="0">
    <w:p w:rsidR="00894448" w:rsidRDefault="00894448" w:rsidP="004C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9" w:rsidRDefault="00290889">
    <w:pPr>
      <w:pStyle w:val="a7"/>
    </w:pPr>
  </w:p>
  <w:p w:rsidR="00290889" w:rsidRDefault="002908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83"/>
    <w:rsid w:val="00022533"/>
    <w:rsid w:val="00022577"/>
    <w:rsid w:val="000632D1"/>
    <w:rsid w:val="00093D46"/>
    <w:rsid w:val="00095121"/>
    <w:rsid w:val="000C5B93"/>
    <w:rsid w:val="000C7586"/>
    <w:rsid w:val="000E1343"/>
    <w:rsid w:val="000E2CDA"/>
    <w:rsid w:val="001054A2"/>
    <w:rsid w:val="0013568C"/>
    <w:rsid w:val="001413A2"/>
    <w:rsid w:val="001701BA"/>
    <w:rsid w:val="001B10AD"/>
    <w:rsid w:val="001C58A9"/>
    <w:rsid w:val="001D61BB"/>
    <w:rsid w:val="001E17EE"/>
    <w:rsid w:val="002274B2"/>
    <w:rsid w:val="0023506B"/>
    <w:rsid w:val="00290889"/>
    <w:rsid w:val="002930DA"/>
    <w:rsid w:val="002B7772"/>
    <w:rsid w:val="00304A31"/>
    <w:rsid w:val="00311942"/>
    <w:rsid w:val="00331EEC"/>
    <w:rsid w:val="00352D1B"/>
    <w:rsid w:val="003C2D11"/>
    <w:rsid w:val="003D4E46"/>
    <w:rsid w:val="004078EB"/>
    <w:rsid w:val="00447345"/>
    <w:rsid w:val="00471DED"/>
    <w:rsid w:val="004C6E3D"/>
    <w:rsid w:val="004E6EB9"/>
    <w:rsid w:val="00500F02"/>
    <w:rsid w:val="00506633"/>
    <w:rsid w:val="00511C6C"/>
    <w:rsid w:val="005135E1"/>
    <w:rsid w:val="00514818"/>
    <w:rsid w:val="00520D9B"/>
    <w:rsid w:val="0054026A"/>
    <w:rsid w:val="00560DA0"/>
    <w:rsid w:val="00576823"/>
    <w:rsid w:val="005B1183"/>
    <w:rsid w:val="005B1A6D"/>
    <w:rsid w:val="005B253F"/>
    <w:rsid w:val="005C7838"/>
    <w:rsid w:val="005F73C9"/>
    <w:rsid w:val="00626979"/>
    <w:rsid w:val="006426B0"/>
    <w:rsid w:val="0065659A"/>
    <w:rsid w:val="0065705F"/>
    <w:rsid w:val="00681BC1"/>
    <w:rsid w:val="006873A5"/>
    <w:rsid w:val="006A3B7B"/>
    <w:rsid w:val="006B17A6"/>
    <w:rsid w:val="006B7760"/>
    <w:rsid w:val="006C3C0C"/>
    <w:rsid w:val="006E3288"/>
    <w:rsid w:val="00792617"/>
    <w:rsid w:val="00794AFE"/>
    <w:rsid w:val="007B0A70"/>
    <w:rsid w:val="007D6750"/>
    <w:rsid w:val="007E5931"/>
    <w:rsid w:val="008534AB"/>
    <w:rsid w:val="00857EF0"/>
    <w:rsid w:val="00871363"/>
    <w:rsid w:val="00894448"/>
    <w:rsid w:val="008A36F1"/>
    <w:rsid w:val="008D67DA"/>
    <w:rsid w:val="008D7C15"/>
    <w:rsid w:val="009064FC"/>
    <w:rsid w:val="009540AB"/>
    <w:rsid w:val="009630BE"/>
    <w:rsid w:val="009716E1"/>
    <w:rsid w:val="009821FA"/>
    <w:rsid w:val="0099782A"/>
    <w:rsid w:val="00A41CA1"/>
    <w:rsid w:val="00A66AEC"/>
    <w:rsid w:val="00A75D25"/>
    <w:rsid w:val="00AC3576"/>
    <w:rsid w:val="00AC5A3D"/>
    <w:rsid w:val="00AF3CEF"/>
    <w:rsid w:val="00B156FF"/>
    <w:rsid w:val="00B65FB6"/>
    <w:rsid w:val="00B742E0"/>
    <w:rsid w:val="00B8266B"/>
    <w:rsid w:val="00C00CD9"/>
    <w:rsid w:val="00CA051C"/>
    <w:rsid w:val="00CC4508"/>
    <w:rsid w:val="00CC4F63"/>
    <w:rsid w:val="00CC5555"/>
    <w:rsid w:val="00CD0DA5"/>
    <w:rsid w:val="00CF134F"/>
    <w:rsid w:val="00D0122B"/>
    <w:rsid w:val="00D14D11"/>
    <w:rsid w:val="00D43B88"/>
    <w:rsid w:val="00D538DF"/>
    <w:rsid w:val="00D83323"/>
    <w:rsid w:val="00D94EB0"/>
    <w:rsid w:val="00DA2FBE"/>
    <w:rsid w:val="00DB5519"/>
    <w:rsid w:val="00DD3441"/>
    <w:rsid w:val="00DD5E12"/>
    <w:rsid w:val="00DE58D8"/>
    <w:rsid w:val="00E2497B"/>
    <w:rsid w:val="00E328EE"/>
    <w:rsid w:val="00E35565"/>
    <w:rsid w:val="00E610D8"/>
    <w:rsid w:val="00E635C4"/>
    <w:rsid w:val="00E71B1D"/>
    <w:rsid w:val="00E728C3"/>
    <w:rsid w:val="00E7431E"/>
    <w:rsid w:val="00EA0A1F"/>
    <w:rsid w:val="00EA0D01"/>
    <w:rsid w:val="00EB7BCF"/>
    <w:rsid w:val="00EC1D12"/>
    <w:rsid w:val="00ED7D4E"/>
    <w:rsid w:val="00F434F7"/>
    <w:rsid w:val="00F4673E"/>
    <w:rsid w:val="00F47D38"/>
    <w:rsid w:val="00F73530"/>
    <w:rsid w:val="00F76F63"/>
    <w:rsid w:val="00F8070C"/>
    <w:rsid w:val="00FA012C"/>
    <w:rsid w:val="00FC541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  <w:rPr>
      <w:rFonts w:ascii="Calibri" w:eastAsia="新細明體"/>
    </w:rPr>
  </w:style>
  <w:style w:type="character" w:customStyle="1" w:styleId="a5">
    <w:name w:val="清單段落 字元"/>
    <w:link w:val="a4"/>
    <w:uiPriority w:val="34"/>
    <w:locked/>
    <w:rsid w:val="00093D46"/>
    <w:rPr>
      <w:kern w:val="2"/>
      <w:sz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eastAsia="標楷體" w:hAnsi="標楷體"/>
      <w:sz w:val="32"/>
      <w:szCs w:val="32"/>
    </w:rPr>
  </w:style>
  <w:style w:type="character" w:customStyle="1" w:styleId="10">
    <w:name w:val="1.章 字元"/>
    <w:link w:val="1"/>
    <w:locked/>
    <w:rsid w:val="00093D46"/>
    <w:rPr>
      <w:rFonts w:ascii="Times New Roman" w:eastAsia="標楷體" w:hAnsi="標楷體"/>
      <w:kern w:val="2"/>
      <w:sz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eastAsia="標楷體" w:hAnsi="標楷體"/>
    </w:rPr>
  </w:style>
  <w:style w:type="character" w:customStyle="1" w:styleId="a6">
    <w:name w:val="節 字元"/>
    <w:link w:val="a"/>
    <w:locked/>
    <w:rsid w:val="00093D46"/>
    <w:rPr>
      <w:rFonts w:ascii="Times New Roman" w:eastAsia="標楷體" w:hAnsi="標楷體"/>
      <w:kern w:val="2"/>
      <w:sz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4C6E3D"/>
    <w:rPr>
      <w:rFonts w:ascii="標楷體" w:eastAsia="標楷體"/>
      <w:kern w:val="2"/>
    </w:rPr>
  </w:style>
  <w:style w:type="paragraph" w:styleId="ab">
    <w:name w:val="Balloon Text"/>
    <w:basedOn w:val="a0"/>
    <w:link w:val="ac"/>
    <w:uiPriority w:val="99"/>
    <w:rsid w:val="00D538DF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D538DF"/>
    <w:rPr>
      <w:rFonts w:ascii="Cambria" w:eastAsia="新細明體" w:hAnsi="Cambria"/>
      <w:kern w:val="2"/>
      <w:sz w:val="18"/>
    </w:rPr>
  </w:style>
  <w:style w:type="character" w:styleId="ad">
    <w:name w:val="annotation reference"/>
    <w:uiPriority w:val="99"/>
    <w:rsid w:val="0013568C"/>
    <w:rPr>
      <w:sz w:val="18"/>
    </w:rPr>
  </w:style>
  <w:style w:type="paragraph" w:styleId="ae">
    <w:name w:val="annotation text"/>
    <w:basedOn w:val="a0"/>
    <w:link w:val="af"/>
    <w:uiPriority w:val="99"/>
    <w:rsid w:val="0013568C"/>
  </w:style>
  <w:style w:type="character" w:customStyle="1" w:styleId="af">
    <w:name w:val="註解文字 字元"/>
    <w:link w:val="ae"/>
    <w:uiPriority w:val="99"/>
    <w:locked/>
    <w:rsid w:val="0013568C"/>
    <w:rPr>
      <w:rFonts w:ascii="標楷體" w:eastAsia="標楷體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13568C"/>
    <w:rPr>
      <w:b/>
      <w:bCs/>
    </w:rPr>
  </w:style>
  <w:style w:type="character" w:customStyle="1" w:styleId="af1">
    <w:name w:val="註解主旨 字元"/>
    <w:link w:val="af0"/>
    <w:uiPriority w:val="99"/>
    <w:locked/>
    <w:rsid w:val="0013568C"/>
    <w:rPr>
      <w:rFonts w:ascii="標楷體" w:eastAsia="標楷體"/>
      <w:b/>
      <w:kern w:val="2"/>
      <w:sz w:val="22"/>
    </w:rPr>
  </w:style>
  <w:style w:type="character" w:styleId="af2">
    <w:name w:val="Hyperlink"/>
    <w:uiPriority w:val="99"/>
    <w:unhideWhenUsed/>
    <w:rsid w:val="00E35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58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1205</Characters>
  <Application>Microsoft Office Word</Application>
  <DocSecurity>0</DocSecurity>
  <Lines>10</Lines>
  <Paragraphs>2</Paragraphs>
  <ScaleCrop>false</ScaleCrop>
  <Company>Kaohsiung City Government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dc:description/>
  <cp:lastModifiedBy>董錦</cp:lastModifiedBy>
  <cp:revision>22</cp:revision>
  <dcterms:created xsi:type="dcterms:W3CDTF">2014-11-28T07:54:00Z</dcterms:created>
  <dcterms:modified xsi:type="dcterms:W3CDTF">2021-08-25T05:13:00Z</dcterms:modified>
</cp:coreProperties>
</file>