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41" w:rsidRDefault="000C5ED8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統計資料背景說明</w:t>
      </w:r>
    </w:p>
    <w:p w:rsidR="00162241" w:rsidRDefault="000C5E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資料種類：土地統計</w:t>
      </w:r>
    </w:p>
    <w:p w:rsidR="00162241" w:rsidRDefault="000C5E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資料項目：臺中市龍井區農耕土地面積</w:t>
      </w:r>
    </w:p>
    <w:p w:rsidR="00162241" w:rsidRDefault="000C5ED8">
      <w:pPr>
        <w:numPr>
          <w:ilvl w:val="0"/>
          <w:numId w:val="1"/>
        </w:numPr>
        <w:rPr>
          <w:rFonts w:eastAsia="標楷體"/>
          <w:szCs w:val="24"/>
        </w:rPr>
      </w:pPr>
      <w:r>
        <w:rPr>
          <w:rFonts w:eastAsia="標楷體"/>
          <w:szCs w:val="24"/>
        </w:rPr>
        <w:t>發布及編製機關單位</w:t>
      </w:r>
    </w:p>
    <w:p w:rsidR="00162241" w:rsidRDefault="000C5ED8">
      <w:pPr>
        <w:numPr>
          <w:ilvl w:val="1"/>
          <w:numId w:val="2"/>
        </w:numPr>
        <w:tabs>
          <w:tab w:val="left" w:pos="0"/>
          <w:tab w:val="left" w:pos="480"/>
        </w:tabs>
        <w:spacing w:line="0" w:lineRule="atLeast"/>
      </w:pPr>
      <w:r>
        <w:rPr>
          <w:rFonts w:eastAsia="標楷體"/>
          <w:szCs w:val="24"/>
        </w:rPr>
        <w:t>發布機關、單位：臺中市</w:t>
      </w:r>
      <w:r>
        <w:rPr>
          <w:rFonts w:ascii="標楷體" w:eastAsia="標楷體" w:hAnsi="標楷體"/>
          <w:szCs w:val="24"/>
        </w:rPr>
        <w:t>龍井區</w:t>
      </w:r>
      <w:r>
        <w:rPr>
          <w:rFonts w:eastAsia="標楷體"/>
          <w:szCs w:val="24"/>
        </w:rPr>
        <w:t>公所會計室</w:t>
      </w:r>
    </w:p>
    <w:p w:rsidR="00162241" w:rsidRDefault="000C5ED8">
      <w:pPr>
        <w:numPr>
          <w:ilvl w:val="1"/>
          <w:numId w:val="2"/>
        </w:numPr>
        <w:spacing w:line="0" w:lineRule="atLeast"/>
      </w:pPr>
      <w:r>
        <w:rPr>
          <w:rFonts w:eastAsia="標楷體"/>
          <w:szCs w:val="24"/>
        </w:rPr>
        <w:t>編製單位：臺中市</w:t>
      </w:r>
      <w:r>
        <w:rPr>
          <w:rFonts w:ascii="標楷體" w:eastAsia="標楷體" w:hAnsi="標楷體"/>
          <w:szCs w:val="24"/>
        </w:rPr>
        <w:t>龍井區</w:t>
      </w:r>
      <w:r>
        <w:rPr>
          <w:rFonts w:eastAsia="標楷體"/>
          <w:szCs w:val="24"/>
        </w:rPr>
        <w:t>公所</w:t>
      </w:r>
      <w:r>
        <w:rPr>
          <w:rFonts w:ascii="標楷體" w:eastAsia="標楷體" w:hAnsi="標楷體"/>
          <w:szCs w:val="24"/>
        </w:rPr>
        <w:t>農業</w:t>
      </w:r>
      <w:r>
        <w:rPr>
          <w:rFonts w:eastAsia="標楷體"/>
          <w:szCs w:val="24"/>
        </w:rPr>
        <w:t>課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陳玫蓉</w:t>
      </w:r>
    </w:p>
    <w:p w:rsidR="00162241" w:rsidRDefault="000C5ED8">
      <w:pPr>
        <w:numPr>
          <w:ilvl w:val="1"/>
          <w:numId w:val="2"/>
        </w:numPr>
        <w:spacing w:line="0" w:lineRule="atLeast"/>
      </w:pPr>
      <w:r>
        <w:rPr>
          <w:rFonts w:eastAsia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>04-26352411#1146</w:t>
      </w:r>
    </w:p>
    <w:p w:rsidR="00162241" w:rsidRDefault="000C5ED8">
      <w:pPr>
        <w:numPr>
          <w:ilvl w:val="1"/>
          <w:numId w:val="2"/>
        </w:num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傳真：</w:t>
      </w:r>
      <w:r>
        <w:rPr>
          <w:rFonts w:ascii="標楷體" w:eastAsia="標楷體" w:hAnsi="標楷體"/>
          <w:szCs w:val="24"/>
        </w:rPr>
        <w:t>04-26354222</w:t>
      </w:r>
    </w:p>
    <w:p w:rsidR="00162241" w:rsidRDefault="000C5ED8">
      <w:pPr>
        <w:numPr>
          <w:ilvl w:val="1"/>
          <w:numId w:val="2"/>
        </w:numPr>
        <w:spacing w:line="0" w:lineRule="atLeast"/>
      </w:pPr>
      <w:r>
        <w:rPr>
          <w:rFonts w:ascii="標楷體" w:eastAsia="標楷體" w:hAnsi="標楷體"/>
          <w:szCs w:val="24"/>
        </w:rPr>
        <w:t>電子信箱：</w:t>
      </w:r>
      <w:r>
        <w:rPr>
          <w:rFonts w:ascii="Arial" w:hAnsi="Arial" w:cs="Arial"/>
          <w:color w:val="000000"/>
        </w:rPr>
        <w:t>meijung@taichung.gov.tw</w:t>
      </w:r>
    </w:p>
    <w:p w:rsidR="00162241" w:rsidRDefault="000C5ED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發布形式</w:t>
      </w:r>
    </w:p>
    <w:p w:rsidR="00162241" w:rsidRDefault="000C5ED8">
      <w:pPr>
        <w:numPr>
          <w:ilvl w:val="1"/>
          <w:numId w:val="1"/>
        </w:num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162241" w:rsidRDefault="000C5ED8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（）記者會或說明會</w:t>
      </w:r>
    </w:p>
    <w:p w:rsidR="00162241" w:rsidRDefault="000C5ED8">
      <w:pPr>
        <w:numPr>
          <w:ilvl w:val="1"/>
          <w:numId w:val="1"/>
        </w:num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162241" w:rsidRDefault="000C5ED8">
      <w:pPr>
        <w:spacing w:line="0" w:lineRule="atLeast"/>
        <w:ind w:firstLine="840"/>
      </w:pPr>
      <w:r>
        <w:rPr>
          <w:rFonts w:ascii="標楷體" w:eastAsia="標楷體" w:hAnsi="標楷體"/>
        </w:rPr>
        <w:t>（）新聞稿</w:t>
      </w:r>
      <w:r>
        <w:rPr>
          <w:rFonts w:ascii="標楷體" w:eastAsia="標楷體" w:hAnsi="標楷體"/>
        </w:rPr>
        <w:t xml:space="preserve"> </w:t>
      </w:r>
      <w:r>
        <w:rPr>
          <w:sz w:val="28"/>
        </w:rPr>
        <w:t>（</w:t>
      </w:r>
      <w:r>
        <w:rPr>
          <w:sz w:val="28"/>
          <w:szCs w:val="28"/>
        </w:rPr>
        <w:t>V</w:t>
      </w:r>
      <w:r>
        <w:rPr>
          <w:sz w:val="28"/>
        </w:rPr>
        <w:t>）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（）書刊，刊名：</w:t>
      </w:r>
      <w:r>
        <w:rPr>
          <w:rFonts w:ascii="標楷體" w:eastAsia="標楷體" w:hAnsi="標楷體"/>
        </w:rPr>
        <w:t xml:space="preserve"> </w:t>
      </w:r>
    </w:p>
    <w:p w:rsidR="00162241" w:rsidRDefault="000C5ED8">
      <w:pPr>
        <w:numPr>
          <w:ilvl w:val="1"/>
          <w:numId w:val="1"/>
        </w:num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電子媒體：</w:t>
      </w:r>
    </w:p>
    <w:p w:rsidR="00162241" w:rsidRDefault="000C5ED8">
      <w:pPr>
        <w:spacing w:line="0" w:lineRule="atLeast"/>
        <w:ind w:left="600" w:firstLine="240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）線上書刊及資料庫，</w:t>
      </w:r>
      <w:r>
        <w:rPr>
          <w:rFonts w:ascii="標楷體" w:eastAsia="標楷體" w:hAnsi="標楷體"/>
          <w:szCs w:val="24"/>
        </w:rPr>
        <w:t>網址：</w:t>
      </w:r>
    </w:p>
    <w:p w:rsidR="00162241" w:rsidRDefault="000C5ED8">
      <w:pPr>
        <w:spacing w:line="360" w:lineRule="exact"/>
        <w:ind w:left="966" w:right="-328" w:hanging="294"/>
      </w:pPr>
      <w:r>
        <w:rPr>
          <w:rFonts w:ascii="標楷體" w:eastAsia="標楷體" w:hAnsi="標楷體"/>
          <w:szCs w:val="24"/>
        </w:rPr>
        <w:t>http://govstat.taichung.gov.tw/TCSTAT/Page/kcg01_2.aspx?Mid1=387740000A</w:t>
      </w:r>
    </w:p>
    <w:p w:rsidR="00162241" w:rsidRDefault="000C5ED8">
      <w:pPr>
        <w:spacing w:line="0" w:lineRule="atLeast"/>
        <w:ind w:left="6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（）磁片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（）其他</w:t>
      </w:r>
    </w:p>
    <w:p w:rsidR="00162241" w:rsidRDefault="000C5ED8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資料範圍、週期及時效</w:t>
      </w:r>
    </w:p>
    <w:p w:rsidR="00162241" w:rsidRDefault="000C5ED8">
      <w:pPr>
        <w:numPr>
          <w:ilvl w:val="1"/>
          <w:numId w:val="1"/>
        </w:numPr>
        <w:spacing w:line="0" w:lineRule="atLeast"/>
        <w:ind w:left="482"/>
      </w:pPr>
      <w:r>
        <w:rPr>
          <w:rFonts w:eastAsia="標楷體"/>
        </w:rPr>
        <w:t>統計地區範圍及對象：</w:t>
      </w:r>
      <w:r>
        <w:rPr>
          <w:rFonts w:ascii="標楷體" w:eastAsia="標楷體" w:hAnsi="標楷體"/>
          <w:szCs w:val="24"/>
        </w:rPr>
        <w:t>凡本區內</w:t>
      </w:r>
      <w:r>
        <w:rPr>
          <w:rFonts w:eastAsia="標楷體"/>
        </w:rPr>
        <w:t>可供種植經濟生產農作物之土地，無論是否適宜耕作或合法作為農業使用與否，</w:t>
      </w:r>
      <w:r>
        <w:rPr>
          <w:rFonts w:ascii="標楷體" w:eastAsia="標楷體" w:hAnsi="標楷體"/>
          <w:szCs w:val="24"/>
        </w:rPr>
        <w:t>均為統計對象。</w:t>
      </w:r>
    </w:p>
    <w:p w:rsidR="00162241" w:rsidRDefault="000C5ED8">
      <w:pPr>
        <w:numPr>
          <w:ilvl w:val="1"/>
          <w:numId w:val="1"/>
        </w:numPr>
        <w:spacing w:line="0" w:lineRule="atLeast"/>
        <w:ind w:left="480"/>
        <w:rPr>
          <w:rFonts w:eastAsia="標楷體"/>
        </w:rPr>
      </w:pPr>
      <w:r>
        <w:rPr>
          <w:rFonts w:eastAsia="標楷體"/>
        </w:rPr>
        <w:t>統計標準時間：以每年一期作之耕作事實為準。</w:t>
      </w:r>
    </w:p>
    <w:p w:rsidR="00162241" w:rsidRDefault="000C5ED8">
      <w:pPr>
        <w:numPr>
          <w:ilvl w:val="1"/>
          <w:numId w:val="1"/>
        </w:numPr>
        <w:spacing w:line="0" w:lineRule="atLeast"/>
        <w:ind w:left="480"/>
        <w:rPr>
          <w:rFonts w:eastAsia="標楷體"/>
        </w:rPr>
      </w:pPr>
      <w:r>
        <w:rPr>
          <w:rFonts w:eastAsia="標楷體"/>
        </w:rPr>
        <w:t>統計項目定義：</w:t>
      </w:r>
    </w:p>
    <w:p w:rsidR="00162241" w:rsidRDefault="000C5ED8">
      <w:pPr>
        <w:pStyle w:val="a4"/>
        <w:spacing w:line="240" w:lineRule="atLeast"/>
        <w:ind w:left="5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農耕土地指不論現況種植與否，可供栽培作物之土地，包括短期耕作地、長期耕作地及長期休閒地。</w:t>
      </w:r>
    </w:p>
    <w:p w:rsidR="00162241" w:rsidRDefault="000C5ED8">
      <w:pPr>
        <w:pStyle w:val="a4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「農耕土地」：指不論種植與否，可栽培作物之耕地。並分兩種耕作地</w:t>
      </w:r>
    </w:p>
    <w:p w:rsidR="00162241" w:rsidRDefault="000C5ED8">
      <w:pPr>
        <w:pStyle w:val="a4"/>
        <w:spacing w:line="240" w:lineRule="atLeast"/>
        <w:ind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如下：</w:t>
      </w:r>
    </w:p>
    <w:p w:rsidR="00162241" w:rsidRDefault="000C5ED8">
      <w:pPr>
        <w:pStyle w:val="a4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1.</w:t>
      </w:r>
      <w:r>
        <w:rPr>
          <w:rFonts w:ascii="標楷體" w:eastAsia="標楷體" w:hAnsi="標楷體"/>
          <w:szCs w:val="24"/>
        </w:rPr>
        <w:t>耕作地：</w:t>
      </w:r>
    </w:p>
    <w:p w:rsidR="00162241" w:rsidRDefault="000C5ED8">
      <w:pPr>
        <w:pStyle w:val="a4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(1)</w:t>
      </w:r>
      <w:r>
        <w:rPr>
          <w:rFonts w:ascii="標楷體" w:eastAsia="標楷體" w:hAnsi="標楷體"/>
          <w:szCs w:val="24"/>
        </w:rPr>
        <w:t>短期耕作地：含能蓄水，經常可以栽培水稻之耕地、水稻以外之短期作</w:t>
      </w:r>
    </w:p>
    <w:p w:rsidR="00162241" w:rsidRDefault="000C5ED8">
      <w:pPr>
        <w:pStyle w:val="a4"/>
        <w:spacing w:line="240" w:lineRule="atLeast"/>
        <w:ind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耕地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蔬菜等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及短期休閒地。</w:t>
      </w:r>
    </w:p>
    <w:p w:rsidR="00162241" w:rsidRDefault="000C5ED8">
      <w:pPr>
        <w:pStyle w:val="a4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(2)</w:t>
      </w:r>
      <w:r>
        <w:rPr>
          <w:rFonts w:ascii="標楷體" w:eastAsia="標楷體" w:hAnsi="標楷體"/>
          <w:szCs w:val="24"/>
        </w:rPr>
        <w:t>長期耕作地：指土壤不容易貯水或水量不足只能栽培陸稻、雜糧及果樹</w:t>
      </w:r>
    </w:p>
    <w:p w:rsidR="00162241" w:rsidRDefault="000C5ED8">
      <w:pPr>
        <w:pStyle w:val="a4"/>
        <w:spacing w:line="240" w:lineRule="atLeast"/>
        <w:ind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類等之耕地。</w:t>
      </w:r>
    </w:p>
    <w:p w:rsidR="00162241" w:rsidRDefault="000C5ED8">
      <w:pPr>
        <w:pStyle w:val="a4"/>
        <w:spacing w:line="240" w:lineRule="atLeast"/>
      </w:pPr>
      <w:r>
        <w:rPr>
          <w:rFonts w:ascii="標楷體" w:eastAsia="標楷體" w:hAnsi="標楷體"/>
          <w:szCs w:val="24"/>
        </w:rPr>
        <w:t xml:space="preserve">      2.</w:t>
      </w:r>
      <w:r>
        <w:rPr>
          <w:rFonts w:ascii="標楷體" w:eastAsia="標楷體" w:hAnsi="標楷體"/>
          <w:szCs w:val="24"/>
        </w:rPr>
        <w:t>長期休閒地：係指耕地長期荒蕪，未種植作物之土地。</w:t>
      </w:r>
      <w:r>
        <w:rPr>
          <w:rFonts w:ascii="標楷體" w:eastAsia="標楷體" w:hAnsi="標楷體"/>
          <w:b/>
          <w:bCs/>
          <w:szCs w:val="24"/>
        </w:rPr>
        <w:t xml:space="preserve">     </w:t>
      </w:r>
    </w:p>
    <w:p w:rsidR="00162241" w:rsidRDefault="000C5ED8">
      <w:pPr>
        <w:numPr>
          <w:ilvl w:val="1"/>
          <w:numId w:val="1"/>
        </w:numPr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統計單位：公頃。</w:t>
      </w:r>
    </w:p>
    <w:p w:rsidR="00162241" w:rsidRDefault="000C5ED8">
      <w:pPr>
        <w:numPr>
          <w:ilvl w:val="1"/>
          <w:numId w:val="1"/>
        </w:numPr>
        <w:spacing w:line="0" w:lineRule="atLeast"/>
        <w:ind w:left="964" w:hanging="482"/>
      </w:pPr>
      <w:r>
        <w:rPr>
          <w:rFonts w:eastAsia="標楷體"/>
        </w:rPr>
        <w:t>統計分類：</w:t>
      </w:r>
      <w:r>
        <w:rPr>
          <w:rFonts w:ascii="標楷體" w:eastAsia="標楷體" w:hAnsi="標楷體"/>
          <w:szCs w:val="24"/>
        </w:rPr>
        <w:t>分耕作地、長期休閒地兩大類。耕作地分為短期耕作地、長期耕作地；短期耕作地再分為水稻、水稻以外之短期作、短期休閒。</w:t>
      </w:r>
    </w:p>
    <w:p w:rsidR="00162241" w:rsidRDefault="000C5ED8">
      <w:pPr>
        <w:numPr>
          <w:ilvl w:val="1"/>
          <w:numId w:val="1"/>
        </w:numPr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發布週期：年。</w:t>
      </w:r>
    </w:p>
    <w:p w:rsidR="00162241" w:rsidRDefault="000C5ED8">
      <w:pPr>
        <w:numPr>
          <w:ilvl w:val="1"/>
          <w:numId w:val="1"/>
        </w:numPr>
        <w:spacing w:line="0" w:lineRule="atLeast"/>
        <w:ind w:left="964" w:hanging="482"/>
      </w:pPr>
      <w:r>
        <w:rPr>
          <w:rFonts w:eastAsia="標楷體"/>
        </w:rPr>
        <w:t>時效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</w:t>
      </w:r>
      <w:r>
        <w:rPr>
          <w:rFonts w:eastAsia="標楷體"/>
        </w:rPr>
        <w:t>月。</w:t>
      </w:r>
    </w:p>
    <w:p w:rsidR="00162241" w:rsidRDefault="000C5ED8">
      <w:pPr>
        <w:numPr>
          <w:ilvl w:val="1"/>
          <w:numId w:val="1"/>
        </w:numPr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資料變革：無。</w:t>
      </w:r>
    </w:p>
    <w:p w:rsidR="00162241" w:rsidRDefault="000C5ED8">
      <w:pPr>
        <w:numPr>
          <w:ilvl w:val="0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公開資料發布訊息</w:t>
      </w:r>
    </w:p>
    <w:p w:rsidR="00162241" w:rsidRDefault="000C5ED8">
      <w:pPr>
        <w:numPr>
          <w:ilvl w:val="1"/>
          <w:numId w:val="1"/>
        </w:numPr>
        <w:ind w:left="2618" w:hanging="2138"/>
      </w:pPr>
      <w:r>
        <w:rPr>
          <w:rFonts w:eastAsia="標楷體"/>
        </w:rPr>
        <w:t>預告發布日期：每年終了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原訂預告發布日期如遇例假日或國定假日</w:t>
      </w:r>
    </w:p>
    <w:p w:rsidR="00162241" w:rsidRDefault="000C5ED8">
      <w:pPr>
        <w:ind w:left="480" w:firstLine="1680"/>
      </w:pPr>
      <w:r>
        <w:rPr>
          <w:rFonts w:ascii="標楷體" w:eastAsia="標楷體" w:hAnsi="標楷體"/>
          <w:szCs w:val="24"/>
        </w:rPr>
        <w:lastRenderedPageBreak/>
        <w:t>則延至下一個工作日發布</w:t>
      </w:r>
      <w:r>
        <w:rPr>
          <w:rFonts w:ascii="標楷體" w:eastAsia="標楷體" w:hAnsi="標楷體"/>
          <w:szCs w:val="24"/>
        </w:rPr>
        <w:t>)</w:t>
      </w:r>
    </w:p>
    <w:p w:rsidR="00162241" w:rsidRDefault="000C5ED8">
      <w:pPr>
        <w:numPr>
          <w:ilvl w:val="1"/>
          <w:numId w:val="1"/>
        </w:numPr>
        <w:spacing w:line="0" w:lineRule="atLeast"/>
        <w:ind w:left="480"/>
      </w:pPr>
      <w:r>
        <w:rPr>
          <w:rFonts w:eastAsia="標楷體"/>
        </w:rPr>
        <w:t>同步發送單位：</w:t>
      </w:r>
      <w:r>
        <w:rPr>
          <w:rFonts w:ascii="標楷體" w:eastAsia="標楷體" w:hAnsi="標楷體"/>
          <w:szCs w:val="24"/>
        </w:rPr>
        <w:t>臺中市政府主計處</w:t>
      </w:r>
      <w:r>
        <w:rPr>
          <w:rFonts w:eastAsia="標楷體"/>
        </w:rPr>
        <w:t>。</w:t>
      </w:r>
    </w:p>
    <w:p w:rsidR="00162241" w:rsidRDefault="000C5ED8">
      <w:pPr>
        <w:numPr>
          <w:ilvl w:val="0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資料品質</w:t>
      </w:r>
    </w:p>
    <w:p w:rsidR="00162241" w:rsidRDefault="000C5ED8">
      <w:pPr>
        <w:numPr>
          <w:ilvl w:val="1"/>
          <w:numId w:val="1"/>
        </w:numPr>
        <w:spacing w:line="0" w:lineRule="atLeast"/>
        <w:ind w:left="964" w:hanging="482"/>
      </w:pPr>
      <w:r>
        <w:rPr>
          <w:rFonts w:ascii="標楷體" w:eastAsia="標楷體" w:hAnsi="標楷體"/>
        </w:rPr>
        <w:t>統計指標編製方法與資料來源說明：</w:t>
      </w:r>
    </w:p>
    <w:p w:rsidR="00162241" w:rsidRDefault="000C5ED8">
      <w:pPr>
        <w:spacing w:line="0" w:lineRule="atLeast"/>
        <w:ind w:left="482"/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本所利用繪妥之</w:t>
      </w:r>
      <w:r>
        <w:rPr>
          <w:rFonts w:ascii="標楷體" w:eastAsia="標楷體" w:hAnsi="標楷體"/>
          <w:szCs w:val="24"/>
        </w:rPr>
        <w:t>航測基本圖</w:t>
      </w:r>
      <w:r>
        <w:rPr>
          <w:rFonts w:ascii="標楷體" w:eastAsia="標楷體" w:hAnsi="標楷體"/>
        </w:rPr>
        <w:t>，經田間實地踏勘，紀錄各項農作物及長短</w:t>
      </w:r>
      <w:r>
        <w:rPr>
          <w:rFonts w:ascii="標楷體" w:eastAsia="標楷體" w:hAnsi="標楷體"/>
        </w:rPr>
        <w:t xml:space="preserve"> </w:t>
      </w:r>
    </w:p>
    <w:p w:rsidR="00162241" w:rsidRDefault="000C5ED8">
      <w:pPr>
        <w:spacing w:line="0" w:lineRule="atLeast"/>
        <w:ind w:left="482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期休閒地面積，以統計農耕土地各項面積</w:t>
      </w:r>
      <w:r>
        <w:rPr>
          <w:rFonts w:ascii="標楷體" w:eastAsia="標楷體" w:hAnsi="標楷體"/>
          <w:szCs w:val="24"/>
        </w:rPr>
        <w:t>。</w:t>
      </w:r>
    </w:p>
    <w:p w:rsidR="00162241" w:rsidRDefault="000C5ED8">
      <w:pPr>
        <w:pStyle w:val="a4"/>
        <w:spacing w:line="0" w:lineRule="atLeast"/>
        <w:ind w:left="12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實地踏勘完畢後，將基本圖上變更之耕地，分別計算其增加或減少之面積，然後在該基本圖耕地總面積中將增加面積加入，將減少面積減去，俾求得每張耕地基本圖上現有之耕地總面積。</w:t>
      </w:r>
    </w:p>
    <w:p w:rsidR="00162241" w:rsidRDefault="000C5ED8">
      <w:pPr>
        <w:pStyle w:val="a4"/>
        <w:spacing w:line="0" w:lineRule="atLeast"/>
        <w:ind w:left="12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耕地面積中按耕作地、休閒地之地目別，以一區分線劃分，繪記於基本圖上，分別統計其面積。</w:t>
      </w:r>
    </w:p>
    <w:p w:rsidR="00162241" w:rsidRDefault="000C5ED8">
      <w:pPr>
        <w:pStyle w:val="a4"/>
        <w:spacing w:line="0" w:lineRule="atLeast"/>
        <w:ind w:left="1219" w:hanging="1219"/>
      </w:pPr>
      <w:r>
        <w:rPr>
          <w:rFonts w:ascii="標楷體" w:eastAsia="標楷體" w:hAnsi="標楷體"/>
          <w:szCs w:val="24"/>
        </w:rPr>
        <w:t xml:space="preserve">      (</w:t>
      </w:r>
      <w:r>
        <w:rPr>
          <w:rFonts w:ascii="標楷體" w:eastAsia="標楷體" w:hAnsi="標楷體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>
        <w:t xml:space="preserve"> </w:t>
      </w:r>
      <w:r>
        <w:rPr>
          <w:rFonts w:ascii="標楷體" w:eastAsia="標楷體" w:hAnsi="標楷體"/>
          <w:szCs w:val="24"/>
        </w:rPr>
        <w:t>本所農業課依據農糧情調查作業資訊系統彙編。</w:t>
      </w:r>
    </w:p>
    <w:p w:rsidR="00162241" w:rsidRDefault="000C5ED8">
      <w:pPr>
        <w:numPr>
          <w:ilvl w:val="0"/>
          <w:numId w:val="3"/>
        </w:numPr>
        <w:spacing w:line="0" w:lineRule="atLeast"/>
      </w:pPr>
      <w:r>
        <w:rPr>
          <w:rFonts w:eastAsia="標楷體"/>
        </w:rPr>
        <w:t>統計資料交叉查核及確保資料合理性之機制：</w:t>
      </w:r>
      <w:r>
        <w:rPr>
          <w:rFonts w:ascii="標楷體" w:eastAsia="標楷體" w:hAnsi="標楷體"/>
          <w:szCs w:val="24"/>
        </w:rPr>
        <w:t>農業課</w:t>
      </w:r>
      <w:r>
        <w:rPr>
          <w:rFonts w:ascii="標楷體" w:eastAsia="標楷體" w:hAnsi="標楷體"/>
        </w:rPr>
        <w:t>、行政院農業委員會農糧署交叉查核確保資料合理性。</w:t>
      </w:r>
    </w:p>
    <w:p w:rsidR="00162241" w:rsidRDefault="000C5ED8">
      <w:pPr>
        <w:numPr>
          <w:ilvl w:val="0"/>
          <w:numId w:val="1"/>
        </w:numPr>
        <w:spacing w:line="0" w:lineRule="atLeast"/>
      </w:pPr>
      <w:r>
        <w:rPr>
          <w:rFonts w:eastAsia="標楷體"/>
        </w:rPr>
        <w:t>須注意及預定改變之事項：表號</w:t>
      </w:r>
      <w:r>
        <w:rPr>
          <w:rFonts w:eastAsia="標楷體"/>
        </w:rPr>
        <w:t>11243-01-01-3</w:t>
      </w:r>
      <w:r>
        <w:rPr>
          <w:rFonts w:eastAsia="標楷體"/>
        </w:rPr>
        <w:t>。</w:t>
      </w:r>
    </w:p>
    <w:p w:rsidR="00162241" w:rsidRDefault="000C5ED8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其他事項：無。</w:t>
      </w:r>
    </w:p>
    <w:p w:rsidR="00162241" w:rsidRDefault="00162241">
      <w:pPr>
        <w:spacing w:line="0" w:lineRule="atLeast"/>
        <w:rPr>
          <w:rFonts w:ascii="標楷體" w:eastAsia="標楷體" w:hAnsi="標楷體"/>
        </w:rPr>
      </w:pPr>
    </w:p>
    <w:p w:rsidR="00162241" w:rsidRDefault="00162241">
      <w:pPr>
        <w:spacing w:line="0" w:lineRule="atLeast"/>
        <w:ind w:left="480"/>
        <w:rPr>
          <w:szCs w:val="24"/>
        </w:rPr>
      </w:pPr>
    </w:p>
    <w:sectPr w:rsidR="00162241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5ED8">
      <w:r>
        <w:separator/>
      </w:r>
    </w:p>
  </w:endnote>
  <w:endnote w:type="continuationSeparator" w:id="0">
    <w:p w:rsidR="00000000" w:rsidRDefault="000C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Gothic Medium JP">
    <w:altName w:val="Arial"/>
    <w:charset w:val="00"/>
    <w:family w:val="modern"/>
    <w:pitch w:val="variable"/>
  </w:font>
  <w:font w:name="AncientClock">
    <w:charset w:val="02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5ED8">
      <w:r>
        <w:rPr>
          <w:color w:val="000000"/>
        </w:rPr>
        <w:separator/>
      </w:r>
    </w:p>
  </w:footnote>
  <w:footnote w:type="continuationSeparator" w:id="0">
    <w:p w:rsidR="00000000" w:rsidRDefault="000C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2E3"/>
    <w:multiLevelType w:val="multilevel"/>
    <w:tmpl w:val="AE8A8BD0"/>
    <w:lvl w:ilvl="0">
      <w:start w:val="1"/>
      <w:numFmt w:val="taiwaneseCountingThousand"/>
      <w:lvlText w:val="%1、"/>
      <w:lvlJc w:val="left"/>
      <w:rPr>
        <w:rFonts w:ascii="標楷體" w:eastAsia="標楷體" w:hAnsi="標楷體"/>
      </w:rPr>
    </w:lvl>
    <w:lvl w:ilvl="1">
      <w:numFmt w:val="bullet"/>
      <w:lvlText w:val="*"/>
      <w:lvlJc w:val="left"/>
      <w:pPr>
        <w:ind w:left="567" w:firstLine="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B3205"/>
    <w:multiLevelType w:val="multilevel"/>
    <w:tmpl w:val="50928490"/>
    <w:lvl w:ilvl="0">
      <w:numFmt w:val="bullet"/>
      <w:lvlText w:val="*"/>
      <w:lvlJc w:val="left"/>
      <w:pPr>
        <w:ind w:left="962" w:hanging="480"/>
      </w:pPr>
      <w:rPr>
        <w:rFonts w:ascii="AR PGothic Medium JP" w:eastAsia="AR PGothic Medium JP" w:hAnsi="AR PGothic Medium JP"/>
        <w:color w:val="auto"/>
      </w:rPr>
    </w:lvl>
    <w:lvl w:ilvl="1">
      <w:numFmt w:val="bullet"/>
      <w:lvlText w:val=""/>
      <w:lvlJc w:val="left"/>
      <w:pPr>
        <w:ind w:left="1442" w:hanging="480"/>
      </w:pPr>
      <w:rPr>
        <w:rFonts w:ascii="AncientClock" w:hAnsi="AncientClock"/>
      </w:rPr>
    </w:lvl>
    <w:lvl w:ilvl="2">
      <w:numFmt w:val="bullet"/>
      <w:lvlText w:val=""/>
      <w:lvlJc w:val="left"/>
      <w:pPr>
        <w:ind w:left="1922" w:hanging="480"/>
      </w:pPr>
      <w:rPr>
        <w:rFonts w:ascii="AncientClock" w:hAnsi="AncientClock"/>
      </w:rPr>
    </w:lvl>
    <w:lvl w:ilvl="3">
      <w:numFmt w:val="bullet"/>
      <w:lvlText w:val=""/>
      <w:lvlJc w:val="left"/>
      <w:pPr>
        <w:ind w:left="2402" w:hanging="480"/>
      </w:pPr>
      <w:rPr>
        <w:rFonts w:ascii="AncientClock" w:hAnsi="AncientClock"/>
      </w:rPr>
    </w:lvl>
    <w:lvl w:ilvl="4">
      <w:numFmt w:val="bullet"/>
      <w:lvlText w:val=""/>
      <w:lvlJc w:val="left"/>
      <w:pPr>
        <w:ind w:left="2882" w:hanging="480"/>
      </w:pPr>
      <w:rPr>
        <w:rFonts w:ascii="AncientClock" w:hAnsi="AncientClock"/>
      </w:rPr>
    </w:lvl>
    <w:lvl w:ilvl="5">
      <w:numFmt w:val="bullet"/>
      <w:lvlText w:val=""/>
      <w:lvlJc w:val="left"/>
      <w:pPr>
        <w:ind w:left="3362" w:hanging="480"/>
      </w:pPr>
      <w:rPr>
        <w:rFonts w:ascii="AncientClock" w:hAnsi="AncientClock"/>
      </w:rPr>
    </w:lvl>
    <w:lvl w:ilvl="6">
      <w:numFmt w:val="bullet"/>
      <w:lvlText w:val=""/>
      <w:lvlJc w:val="left"/>
      <w:pPr>
        <w:ind w:left="3842" w:hanging="480"/>
      </w:pPr>
      <w:rPr>
        <w:rFonts w:ascii="AncientClock" w:hAnsi="AncientClock"/>
      </w:rPr>
    </w:lvl>
    <w:lvl w:ilvl="7">
      <w:numFmt w:val="bullet"/>
      <w:lvlText w:val=""/>
      <w:lvlJc w:val="left"/>
      <w:pPr>
        <w:ind w:left="4322" w:hanging="480"/>
      </w:pPr>
      <w:rPr>
        <w:rFonts w:ascii="AncientClock" w:hAnsi="AncientClock"/>
      </w:rPr>
    </w:lvl>
    <w:lvl w:ilvl="8">
      <w:numFmt w:val="bullet"/>
      <w:lvlText w:val=""/>
      <w:lvlJc w:val="left"/>
      <w:pPr>
        <w:ind w:left="4802" w:hanging="480"/>
      </w:pPr>
      <w:rPr>
        <w:rFonts w:ascii="AncientClock" w:hAnsi="AncientClock"/>
      </w:rPr>
    </w:lvl>
  </w:abstractNum>
  <w:abstractNum w:abstractNumId="2">
    <w:nsid w:val="53CA257C"/>
    <w:multiLevelType w:val="multilevel"/>
    <w:tmpl w:val="75C0E608"/>
    <w:lvl w:ilvl="0">
      <w:start w:val="1"/>
      <w:numFmt w:val="taiwaneseCountingThousand"/>
      <w:lvlText w:val="%1、"/>
      <w:lvlJc w:val="left"/>
      <w:rPr>
        <w:rFonts w:ascii="標楷體" w:eastAsia="標楷體" w:hAnsi="標楷體"/>
      </w:rPr>
    </w:lvl>
    <w:lvl w:ilvl="1">
      <w:numFmt w:val="bullet"/>
      <w:lvlText w:val="*"/>
      <w:lvlJc w:val="left"/>
      <w:pPr>
        <w:ind w:left="480" w:firstLine="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2241"/>
    <w:rsid w:val="000C5ED8"/>
    <w:rsid w:val="001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純文字 字元"/>
    <w:basedOn w:val="a0"/>
    <w:rPr>
      <w:rFonts w:ascii="細明體" w:eastAsia="細明體" w:hAnsi="細明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純文字 字元"/>
    <w:basedOn w:val="a0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tccg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cws</cp:lastModifiedBy>
  <cp:revision>2</cp:revision>
  <cp:lastPrinted>2015-08-06T02:31:00Z</cp:lastPrinted>
  <dcterms:created xsi:type="dcterms:W3CDTF">2022-09-15T01:44:00Z</dcterms:created>
  <dcterms:modified xsi:type="dcterms:W3CDTF">2022-09-15T01:44:00Z</dcterms:modified>
</cp:coreProperties>
</file>