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13C" w:rsidRDefault="0056062A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統計資料背景說明</w:t>
      </w:r>
    </w:p>
    <w:p w:rsidR="00F6413C" w:rsidRDefault="0056062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資料種類：土地統計</w:t>
      </w:r>
    </w:p>
    <w:p w:rsidR="00F6413C" w:rsidRDefault="0056062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資料項目：臺中市農耕土地面積</w:t>
      </w:r>
    </w:p>
    <w:p w:rsidR="00F6413C" w:rsidRDefault="0056062A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發布及編製機關單位</w:t>
      </w:r>
    </w:p>
    <w:p w:rsidR="00F6413C" w:rsidRDefault="0056062A">
      <w:pPr>
        <w:numPr>
          <w:ilvl w:val="1"/>
          <w:numId w:val="2"/>
        </w:numPr>
        <w:tabs>
          <w:tab w:val="left" w:pos="-960"/>
          <w:tab w:val="left" w:pos="-480"/>
        </w:tabs>
        <w:spacing w:line="0" w:lineRule="atLeast"/>
      </w:pPr>
      <w:r>
        <w:rPr>
          <w:rFonts w:eastAsia="標楷體"/>
        </w:rPr>
        <w:t>發布機關</w:t>
      </w:r>
      <w:r>
        <w:rPr>
          <w:rFonts w:ascii="新細明體" w:hAnsi="新細明體"/>
        </w:rPr>
        <w:t>、</w:t>
      </w:r>
      <w:r>
        <w:rPr>
          <w:rFonts w:ascii="標楷體" w:eastAsia="標楷體" w:hAnsi="標楷體"/>
        </w:rPr>
        <w:t>單位</w:t>
      </w:r>
      <w:r>
        <w:rPr>
          <w:rFonts w:eastAsia="標楷體"/>
        </w:rPr>
        <w:t>：臺中市政府農業局會計室</w:t>
      </w:r>
    </w:p>
    <w:p w:rsidR="00F6413C" w:rsidRDefault="0056062A">
      <w:pPr>
        <w:numPr>
          <w:ilvl w:val="1"/>
          <w:numId w:val="2"/>
        </w:numPr>
        <w:spacing w:line="0" w:lineRule="atLeast"/>
        <w:rPr>
          <w:rFonts w:eastAsia="標楷體"/>
        </w:rPr>
      </w:pPr>
      <w:r>
        <w:rPr>
          <w:rFonts w:eastAsia="標楷體"/>
        </w:rPr>
        <w:t>編製單位：臺中市政府農業局作物生產科</w:t>
      </w:r>
    </w:p>
    <w:p w:rsidR="00F6413C" w:rsidRDefault="0056062A">
      <w:pPr>
        <w:numPr>
          <w:ilvl w:val="1"/>
          <w:numId w:val="2"/>
        </w:numPr>
        <w:spacing w:line="0" w:lineRule="atLeast"/>
      </w:pPr>
      <w:r>
        <w:rPr>
          <w:rFonts w:eastAsia="標楷體"/>
        </w:rPr>
        <w:t>聯絡電話：</w:t>
      </w:r>
      <w:r>
        <w:rPr>
          <w:rFonts w:ascii="標楷體" w:eastAsia="標楷體" w:hAnsi="標楷體"/>
        </w:rPr>
        <w:t>04-22289111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56105</w:t>
      </w:r>
    </w:p>
    <w:p w:rsidR="00F6413C" w:rsidRDefault="0056062A">
      <w:pPr>
        <w:numPr>
          <w:ilvl w:val="1"/>
          <w:numId w:val="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04-25261594</w:t>
      </w:r>
    </w:p>
    <w:p w:rsidR="00F6413C" w:rsidRDefault="0056062A">
      <w:pPr>
        <w:numPr>
          <w:ilvl w:val="1"/>
          <w:numId w:val="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電子信箱：</w:t>
      </w:r>
      <w:r>
        <w:rPr>
          <w:rFonts w:ascii="標楷體" w:eastAsia="標楷體" w:hAnsi="標楷體"/>
        </w:rPr>
        <w:t>f36102@taichung.gov.tw</w:t>
      </w:r>
    </w:p>
    <w:p w:rsidR="00F6413C" w:rsidRDefault="0056062A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發布形式</w:t>
      </w:r>
    </w:p>
    <w:p w:rsidR="00F6413C" w:rsidRDefault="0056062A">
      <w:pPr>
        <w:numPr>
          <w:ilvl w:val="1"/>
          <w:numId w:val="1"/>
        </w:num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F6413C" w:rsidRDefault="0056062A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:rsidR="00F6413C" w:rsidRDefault="0056062A">
      <w:pPr>
        <w:numPr>
          <w:ilvl w:val="1"/>
          <w:numId w:val="1"/>
        </w:num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F6413C" w:rsidRDefault="0056062A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（）書刊，刊名：</w:t>
      </w:r>
      <w:r>
        <w:rPr>
          <w:rFonts w:ascii="標楷體" w:eastAsia="標楷體" w:hAnsi="標楷體"/>
        </w:rPr>
        <w:t xml:space="preserve"> </w:t>
      </w:r>
    </w:p>
    <w:p w:rsidR="00F6413C" w:rsidRDefault="0056062A">
      <w:pPr>
        <w:numPr>
          <w:ilvl w:val="1"/>
          <w:numId w:val="1"/>
        </w:num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電子媒體：</w:t>
      </w:r>
    </w:p>
    <w:p w:rsidR="00F6413C" w:rsidRDefault="0056062A">
      <w:pPr>
        <w:spacing w:line="0" w:lineRule="atLeast"/>
        <w:ind w:left="600" w:firstLine="240"/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  <w:sz w:val="18"/>
          <w:szCs w:val="18"/>
        </w:rPr>
        <w:t xml:space="preserve">      </w:t>
      </w:r>
      <w:r>
        <w:rPr>
          <w:rFonts w:ascii="標楷體" w:eastAsia="標楷體" w:hAnsi="標楷體"/>
          <w:sz w:val="18"/>
          <w:szCs w:val="18"/>
        </w:rPr>
        <w:t>http://govstat.taichung.gov.tw/TCSTAT/Page/kcg01_2.aspx?Mid1=387270000G</w:t>
      </w:r>
    </w:p>
    <w:p w:rsidR="00F6413C" w:rsidRDefault="0056062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（）磁片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（）其他</w:t>
      </w:r>
    </w:p>
    <w:p w:rsidR="00F6413C" w:rsidRDefault="0056062A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資料範圍、週期及時效</w:t>
      </w:r>
    </w:p>
    <w:p w:rsidR="00F6413C" w:rsidRDefault="0056062A">
      <w:pPr>
        <w:numPr>
          <w:ilvl w:val="1"/>
          <w:numId w:val="1"/>
        </w:numPr>
        <w:spacing w:line="0" w:lineRule="atLeast"/>
        <w:ind w:left="480"/>
        <w:rPr>
          <w:rFonts w:eastAsia="標楷體"/>
        </w:rPr>
      </w:pPr>
      <w:r>
        <w:rPr>
          <w:rFonts w:eastAsia="標楷體"/>
        </w:rPr>
        <w:t>統計地區範圍及對象：凡本市所轄可供種植經濟生產農作物之土地，無論是否適宜耕作或合法作為農業使用與否，均為統計對象。</w:t>
      </w:r>
    </w:p>
    <w:p w:rsidR="00F6413C" w:rsidRDefault="0056062A">
      <w:pPr>
        <w:numPr>
          <w:ilvl w:val="1"/>
          <w:numId w:val="1"/>
        </w:numPr>
        <w:spacing w:line="0" w:lineRule="atLeast"/>
        <w:ind w:left="480"/>
        <w:rPr>
          <w:rFonts w:eastAsia="標楷體"/>
        </w:rPr>
      </w:pPr>
      <w:r>
        <w:rPr>
          <w:rFonts w:eastAsia="標楷體"/>
        </w:rPr>
        <w:t>統計標準時間：以每年一期作之耕作事實為準。</w:t>
      </w:r>
    </w:p>
    <w:p w:rsidR="00F6413C" w:rsidRDefault="0056062A">
      <w:pPr>
        <w:numPr>
          <w:ilvl w:val="1"/>
          <w:numId w:val="1"/>
        </w:numPr>
        <w:spacing w:line="0" w:lineRule="atLeast"/>
        <w:ind w:left="480"/>
        <w:rPr>
          <w:rFonts w:eastAsia="標楷體"/>
        </w:rPr>
      </w:pPr>
      <w:r>
        <w:rPr>
          <w:rFonts w:eastAsia="標楷體"/>
        </w:rPr>
        <w:t>統計項目定義：</w:t>
      </w:r>
    </w:p>
    <w:p w:rsidR="00F6413C" w:rsidRDefault="0056062A">
      <w:pPr>
        <w:pStyle w:val="a4"/>
        <w:spacing w:line="240" w:lineRule="atLeast"/>
        <w:ind w:left="533"/>
      </w:pP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t xml:space="preserve"> </w:t>
      </w:r>
      <w:r>
        <w:rPr>
          <w:rFonts w:ascii="標楷體" w:eastAsia="標楷體" w:hAnsi="標楷體"/>
          <w:szCs w:val="24"/>
        </w:rPr>
        <w:t>農耕土地指不論現況種植與否，可供栽培作物之土地，包括短期耕作地、長期耕作地及長期休閒地。</w:t>
      </w:r>
      <w:r>
        <w:rPr>
          <w:rFonts w:ascii="標楷體" w:eastAsia="標楷體" w:hAnsi="標楷體"/>
          <w:szCs w:val="24"/>
        </w:rPr>
        <w:t xml:space="preserve">           </w:t>
      </w:r>
    </w:p>
    <w:p w:rsidR="00F6413C" w:rsidRDefault="0056062A">
      <w:pPr>
        <w:pStyle w:val="a4"/>
        <w:spacing w:line="240" w:lineRule="atLeast"/>
        <w:ind w:left="533"/>
      </w:pP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szCs w:val="24"/>
        </w:rPr>
        <w:t>「農耕土地」：指不論種植與否，可栽培作物之耕地。並分兩種耕作地如下：</w:t>
      </w:r>
    </w:p>
    <w:p w:rsidR="00F6413C" w:rsidRDefault="0056062A">
      <w:pPr>
        <w:pStyle w:val="a4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耕作地：</w:t>
      </w:r>
    </w:p>
    <w:p w:rsidR="00F6413C" w:rsidRDefault="0056062A">
      <w:pPr>
        <w:pStyle w:val="a4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/>
          <w:szCs w:val="24"/>
        </w:rPr>
        <w:t>短期耕作地：含能蓄水，經常可以栽培水稻之耕地、水稻以外之短</w:t>
      </w:r>
    </w:p>
    <w:p w:rsidR="00F6413C" w:rsidRDefault="0056062A">
      <w:pPr>
        <w:pStyle w:val="a4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</w:t>
      </w:r>
      <w:r>
        <w:rPr>
          <w:rFonts w:ascii="標楷體" w:eastAsia="標楷體" w:hAnsi="標楷體"/>
          <w:szCs w:val="24"/>
        </w:rPr>
        <w:t>期作耕地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蔬菜等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及短期休閒地。</w:t>
      </w:r>
      <w:r>
        <w:rPr>
          <w:rFonts w:ascii="標楷體" w:eastAsia="標楷體" w:hAnsi="標楷體"/>
          <w:szCs w:val="24"/>
        </w:rPr>
        <w:t xml:space="preserve"> </w:t>
      </w:r>
    </w:p>
    <w:p w:rsidR="00F6413C" w:rsidRDefault="0056062A">
      <w:pPr>
        <w:pStyle w:val="a4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Cs w:val="24"/>
        </w:rPr>
        <w:t>(2)</w:t>
      </w:r>
      <w:r>
        <w:rPr>
          <w:rFonts w:ascii="標楷體" w:eastAsia="標楷體" w:hAnsi="標楷體"/>
          <w:szCs w:val="24"/>
        </w:rPr>
        <w:t>長期耕作地：指土壤不容易貯水或水量不足只能栽培陸稻、雜糧及</w:t>
      </w:r>
    </w:p>
    <w:p w:rsidR="00F6413C" w:rsidRDefault="0056062A">
      <w:pPr>
        <w:pStyle w:val="a4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</w:t>
      </w:r>
      <w:r>
        <w:rPr>
          <w:rFonts w:ascii="標楷體" w:eastAsia="標楷體" w:hAnsi="標楷體"/>
          <w:szCs w:val="24"/>
        </w:rPr>
        <w:t>果樹類等之耕地。</w:t>
      </w:r>
    </w:p>
    <w:p w:rsidR="00F6413C" w:rsidRDefault="0056062A">
      <w:pPr>
        <w:pStyle w:val="a4"/>
        <w:spacing w:line="240" w:lineRule="atLeast"/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</w:rPr>
        <w:t>長期休閒地：係指耕地長期荒蕪，未種植作物之土地。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b/>
          <w:bCs/>
          <w:szCs w:val="24"/>
        </w:rPr>
        <w:t xml:space="preserve">    </w:t>
      </w:r>
    </w:p>
    <w:p w:rsidR="00F6413C" w:rsidRDefault="0056062A">
      <w:pPr>
        <w:numPr>
          <w:ilvl w:val="1"/>
          <w:numId w:val="1"/>
        </w:numPr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統計單位：公頃。</w:t>
      </w:r>
    </w:p>
    <w:p w:rsidR="00F6413C" w:rsidRDefault="0056062A">
      <w:pPr>
        <w:numPr>
          <w:ilvl w:val="1"/>
          <w:numId w:val="1"/>
        </w:numPr>
        <w:spacing w:line="0" w:lineRule="atLeast"/>
        <w:ind w:left="964" w:hanging="482"/>
      </w:pPr>
      <w:r>
        <w:rPr>
          <w:rFonts w:eastAsia="標楷體"/>
        </w:rPr>
        <w:t>統計分類：</w:t>
      </w:r>
      <w:r>
        <w:rPr>
          <w:rFonts w:ascii="標楷體" w:eastAsia="標楷體" w:hAnsi="標楷體"/>
          <w:szCs w:val="24"/>
        </w:rPr>
        <w:t>分耕作地、長期休閒地兩大類。耕作地分為短期耕作地、長期耕作地；短期耕作地再分為水稻、水稻以外之短期作、短期休閒。</w:t>
      </w:r>
    </w:p>
    <w:p w:rsidR="00F6413C" w:rsidRDefault="0056062A">
      <w:pPr>
        <w:numPr>
          <w:ilvl w:val="1"/>
          <w:numId w:val="1"/>
        </w:numPr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發布週期：年。</w:t>
      </w:r>
    </w:p>
    <w:p w:rsidR="00F6413C" w:rsidRDefault="0056062A">
      <w:pPr>
        <w:numPr>
          <w:ilvl w:val="1"/>
          <w:numId w:val="1"/>
        </w:numPr>
        <w:spacing w:line="0" w:lineRule="atLeast"/>
        <w:ind w:left="964" w:hanging="482"/>
      </w:pPr>
      <w:r>
        <w:rPr>
          <w:rFonts w:eastAsia="標楷體"/>
        </w:rPr>
        <w:t>時效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個</w:t>
      </w:r>
      <w:r>
        <w:rPr>
          <w:rFonts w:eastAsia="標楷體"/>
        </w:rPr>
        <w:t>月。</w:t>
      </w:r>
    </w:p>
    <w:p w:rsidR="00F6413C" w:rsidRDefault="0056062A">
      <w:pPr>
        <w:numPr>
          <w:ilvl w:val="1"/>
          <w:numId w:val="1"/>
        </w:numPr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資料變革：無。</w:t>
      </w:r>
    </w:p>
    <w:p w:rsidR="00F6413C" w:rsidRDefault="0056062A">
      <w:pPr>
        <w:numPr>
          <w:ilvl w:val="0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公開資料發布訊息</w:t>
      </w:r>
    </w:p>
    <w:p w:rsidR="00F6413C" w:rsidRDefault="0056062A">
      <w:pPr>
        <w:numPr>
          <w:ilvl w:val="1"/>
          <w:numId w:val="1"/>
        </w:numPr>
        <w:ind w:left="480" w:hanging="371"/>
        <w:rPr>
          <w:rFonts w:eastAsia="標楷體"/>
        </w:rPr>
      </w:pPr>
      <w:r>
        <w:rPr>
          <w:rFonts w:eastAsia="標楷體"/>
        </w:rPr>
        <w:t>預告發布日期：次年</w:t>
      </w:r>
      <w:r>
        <w:rPr>
          <w:rFonts w:eastAsia="標楷體"/>
        </w:rPr>
        <w:t>3</w:t>
      </w:r>
      <w:r>
        <w:rPr>
          <w:rFonts w:eastAsia="標楷體"/>
        </w:rPr>
        <w:t>月底。</w:t>
      </w:r>
      <w:r>
        <w:rPr>
          <w:rFonts w:eastAsia="標楷體"/>
        </w:rPr>
        <w:t>(</w:t>
      </w:r>
      <w:r>
        <w:rPr>
          <w:rFonts w:eastAsia="標楷體"/>
        </w:rPr>
        <w:t>原訂預告發布日期如遇例假日或國定假日則延至下一個工作日發布</w:t>
      </w:r>
      <w:r>
        <w:rPr>
          <w:rFonts w:eastAsia="標楷體"/>
        </w:rPr>
        <w:t>)</w:t>
      </w:r>
    </w:p>
    <w:p w:rsidR="00F6413C" w:rsidRDefault="0056062A">
      <w:pPr>
        <w:numPr>
          <w:ilvl w:val="1"/>
          <w:numId w:val="1"/>
        </w:numPr>
        <w:spacing w:line="0" w:lineRule="atLeast"/>
        <w:ind w:left="480"/>
      </w:pPr>
      <w:r>
        <w:rPr>
          <w:rFonts w:eastAsia="標楷體"/>
        </w:rPr>
        <w:t>同步發送單位：臺中市政府主計處</w:t>
      </w:r>
      <w:r>
        <w:rPr>
          <w:rFonts w:ascii="標楷體" w:eastAsia="標楷體" w:hAnsi="標楷體"/>
          <w:szCs w:val="24"/>
        </w:rPr>
        <w:t>。</w:t>
      </w:r>
    </w:p>
    <w:p w:rsidR="00F6413C" w:rsidRDefault="0056062A">
      <w:pPr>
        <w:numPr>
          <w:ilvl w:val="0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資料品質</w:t>
      </w:r>
    </w:p>
    <w:p w:rsidR="00F6413C" w:rsidRDefault="0056062A">
      <w:pPr>
        <w:numPr>
          <w:ilvl w:val="1"/>
          <w:numId w:val="1"/>
        </w:numPr>
        <w:spacing w:line="0" w:lineRule="atLeast"/>
        <w:ind w:left="964" w:hanging="482"/>
      </w:pPr>
      <w:r>
        <w:rPr>
          <w:rFonts w:ascii="標楷體" w:eastAsia="標楷體" w:hAnsi="標楷體"/>
        </w:rPr>
        <w:lastRenderedPageBreak/>
        <w:t>統計指標編製方法與資料來源說明：</w:t>
      </w:r>
    </w:p>
    <w:p w:rsidR="00F6413C" w:rsidRDefault="0056062A">
      <w:pPr>
        <w:spacing w:line="0" w:lineRule="atLeast"/>
        <w:ind w:left="482"/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t xml:space="preserve"> </w:t>
      </w:r>
      <w:r>
        <w:rPr>
          <w:rFonts w:ascii="標楷體" w:eastAsia="標楷體" w:hAnsi="標楷體"/>
        </w:rPr>
        <w:t>各區公所農情調查員運用繪妥之航測基本圖，經田間實地踏勘，紀錄各項農作物及長短期休閒地面積，以統計農耕土地各項面積</w:t>
      </w:r>
      <w:r>
        <w:rPr>
          <w:rFonts w:ascii="標楷體" w:eastAsia="標楷體" w:hAnsi="標楷體"/>
          <w:szCs w:val="24"/>
        </w:rPr>
        <w:t>。</w:t>
      </w:r>
    </w:p>
    <w:p w:rsidR="00F6413C" w:rsidRDefault="0056062A">
      <w:pPr>
        <w:pStyle w:val="a4"/>
        <w:spacing w:line="0" w:lineRule="atLeast"/>
        <w:ind w:left="1284" w:hanging="1284"/>
      </w:pPr>
      <w:r>
        <w:rPr>
          <w:rFonts w:ascii="標楷體" w:eastAsia="標楷體" w:hAnsi="標楷體"/>
          <w:szCs w:val="24"/>
        </w:rPr>
        <w:t xml:space="preserve">      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t xml:space="preserve"> </w:t>
      </w:r>
      <w:r>
        <w:rPr>
          <w:rFonts w:ascii="標楷體" w:eastAsia="標楷體" w:hAnsi="標楷體"/>
          <w:szCs w:val="24"/>
        </w:rPr>
        <w:t>實地踏勘完畢後，將基本圖上變更之耕地，分別計算其增加或減少之面積，然後在該基本圖耕地總面積中將增加面積加入，將減少面積減去，俾求得每張耕地基本圖上現有之耕地總面積。</w:t>
      </w:r>
    </w:p>
    <w:p w:rsidR="00F6413C" w:rsidRDefault="0056062A">
      <w:pPr>
        <w:pStyle w:val="a4"/>
        <w:spacing w:line="0" w:lineRule="atLeast"/>
        <w:ind w:left="1320" w:hanging="1320"/>
      </w:pPr>
      <w:r>
        <w:rPr>
          <w:rFonts w:ascii="標楷體" w:eastAsia="標楷體" w:hAnsi="標楷體"/>
          <w:szCs w:val="24"/>
        </w:rPr>
        <w:t xml:space="preserve">      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t xml:space="preserve"> </w:t>
      </w:r>
      <w:r>
        <w:rPr>
          <w:rFonts w:ascii="標楷體" w:eastAsia="標楷體" w:hAnsi="標楷體"/>
          <w:szCs w:val="24"/>
        </w:rPr>
        <w:t>耕地面積中按耕作地、休閒地之地目別，以一區分線劃分，繪記於基本圖上，分別統計其面積。</w:t>
      </w:r>
    </w:p>
    <w:p w:rsidR="00F6413C" w:rsidRDefault="0056062A">
      <w:pPr>
        <w:pStyle w:val="a4"/>
        <w:spacing w:line="0" w:lineRule="atLeast"/>
        <w:ind w:left="1320" w:hanging="1320"/>
      </w:pPr>
      <w:r>
        <w:rPr>
          <w:rFonts w:ascii="標楷體" w:eastAsia="標楷體" w:hAnsi="標楷體"/>
          <w:szCs w:val="24"/>
        </w:rPr>
        <w:t xml:space="preserve">      (</w:t>
      </w:r>
      <w:r>
        <w:rPr>
          <w:rFonts w:ascii="標楷體" w:eastAsia="標楷體" w:hAnsi="標楷體"/>
          <w:szCs w:val="24"/>
        </w:rPr>
        <w:t>四</w:t>
      </w:r>
      <w:r>
        <w:rPr>
          <w:rFonts w:ascii="標楷體" w:eastAsia="標楷體" w:hAnsi="標楷體"/>
          <w:szCs w:val="24"/>
        </w:rPr>
        <w:t>)</w:t>
      </w:r>
      <w:r>
        <w:t xml:space="preserve"> </w:t>
      </w:r>
      <w:r>
        <w:rPr>
          <w:rFonts w:ascii="標楷體" w:eastAsia="標楷體" w:hAnsi="標楷體"/>
          <w:szCs w:val="24"/>
        </w:rPr>
        <w:t>由本局作物生產科依據各區公所農耕土地面積報表編製。</w:t>
      </w:r>
    </w:p>
    <w:p w:rsidR="00F6413C" w:rsidRDefault="0056062A">
      <w:pPr>
        <w:numPr>
          <w:ilvl w:val="1"/>
          <w:numId w:val="1"/>
        </w:numPr>
        <w:tabs>
          <w:tab w:val="left" w:pos="622"/>
        </w:tabs>
        <w:ind w:left="482"/>
      </w:pPr>
      <w:r>
        <w:rPr>
          <w:rFonts w:eastAsia="標楷體"/>
        </w:rPr>
        <w:t>統計資料交叉查核及確保資料合理性</w:t>
      </w:r>
      <w:r>
        <w:rPr>
          <w:rFonts w:eastAsia="標楷體"/>
        </w:rPr>
        <w:t>之機制：作物生產科</w:t>
      </w:r>
      <w:r>
        <w:rPr>
          <w:rFonts w:ascii="標楷體" w:eastAsia="標楷體" w:hAnsi="標楷體"/>
        </w:rPr>
        <w:t>、農業部交叉查核確保資料合理性。</w:t>
      </w:r>
    </w:p>
    <w:p w:rsidR="00F6413C" w:rsidRDefault="0056062A">
      <w:pPr>
        <w:numPr>
          <w:ilvl w:val="0"/>
          <w:numId w:val="1"/>
        </w:numPr>
        <w:spacing w:line="0" w:lineRule="atLeast"/>
      </w:pPr>
      <w:r>
        <w:rPr>
          <w:rFonts w:eastAsia="標楷體"/>
        </w:rPr>
        <w:t>須注意及預定改變之事項：表號</w:t>
      </w:r>
      <w:r>
        <w:rPr>
          <w:rFonts w:eastAsia="標楷體"/>
        </w:rPr>
        <w:t>11243-01-01-2</w:t>
      </w:r>
      <w:r>
        <w:rPr>
          <w:rFonts w:eastAsia="標楷體"/>
        </w:rPr>
        <w:t>。</w:t>
      </w:r>
    </w:p>
    <w:p w:rsidR="00F6413C" w:rsidRDefault="0056062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其他事項：無。</w:t>
      </w:r>
    </w:p>
    <w:p w:rsidR="00F6413C" w:rsidRDefault="00F6413C">
      <w:pPr>
        <w:spacing w:line="0" w:lineRule="atLeast"/>
        <w:rPr>
          <w:rFonts w:ascii="標楷體" w:eastAsia="標楷體" w:hAnsi="標楷體"/>
        </w:rPr>
      </w:pPr>
    </w:p>
    <w:p w:rsidR="00F6413C" w:rsidRDefault="00F6413C">
      <w:pPr>
        <w:spacing w:line="0" w:lineRule="atLeast"/>
        <w:ind w:left="480"/>
        <w:rPr>
          <w:szCs w:val="24"/>
        </w:rPr>
      </w:pPr>
    </w:p>
    <w:sectPr w:rsidR="00F6413C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6062A">
      <w:r>
        <w:separator/>
      </w:r>
    </w:p>
  </w:endnote>
  <w:endnote w:type="continuationSeparator" w:id="0">
    <w:p w:rsidR="00000000" w:rsidRDefault="0056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Gothic Medium JP">
    <w:altName w:val="Calibri"/>
    <w:charset w:val="00"/>
    <w:family w:val="moder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6062A">
      <w:r>
        <w:rPr>
          <w:color w:val="000000"/>
        </w:rPr>
        <w:separator/>
      </w:r>
    </w:p>
  </w:footnote>
  <w:footnote w:type="continuationSeparator" w:id="0">
    <w:p w:rsidR="00000000" w:rsidRDefault="0056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51717"/>
    <w:multiLevelType w:val="multilevel"/>
    <w:tmpl w:val="238E7E5E"/>
    <w:lvl w:ilvl="0">
      <w:start w:val="1"/>
      <w:numFmt w:val="taiwaneseCountingThousand"/>
      <w:lvlText w:val="%1、"/>
      <w:lvlJc w:val="left"/>
      <w:rPr>
        <w:rFonts w:ascii="標楷體" w:eastAsia="標楷體" w:hAnsi="標楷體"/>
      </w:rPr>
    </w:lvl>
    <w:lvl w:ilvl="1">
      <w:numFmt w:val="bullet"/>
      <w:lvlText w:val="*"/>
      <w:lvlJc w:val="left"/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0D3C70"/>
    <w:multiLevelType w:val="multilevel"/>
    <w:tmpl w:val="C3CAA40C"/>
    <w:lvl w:ilvl="0">
      <w:start w:val="1"/>
      <w:numFmt w:val="taiwaneseCountingThousand"/>
      <w:lvlText w:val="%1、"/>
      <w:lvlJc w:val="left"/>
      <w:rPr>
        <w:rFonts w:ascii="標楷體" w:eastAsia="標楷體" w:hAnsi="標楷體"/>
      </w:rPr>
    </w:lvl>
    <w:lvl w:ilvl="1">
      <w:numFmt w:val="bullet"/>
      <w:lvlText w:val="*"/>
      <w:lvlJc w:val="left"/>
      <w:pPr>
        <w:ind w:left="480" w:firstLine="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98655092">
    <w:abstractNumId w:val="0"/>
  </w:num>
  <w:num w:numId="2" w16cid:durableId="174360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5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413C"/>
    <w:rsid w:val="0056062A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70C80A1-CF88-4617-A633-15D70E27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2015-12-11T02:45:00Z</cp:lastPrinted>
  <dcterms:created xsi:type="dcterms:W3CDTF">2023-12-14T09:00:00Z</dcterms:created>
  <dcterms:modified xsi:type="dcterms:W3CDTF">2023-12-14T09:00:00Z</dcterms:modified>
</cp:coreProperties>
</file>