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98"/>
        <w:gridCol w:w="9213"/>
      </w:tblGrid>
      <w:tr w:rsidR="00D65876" w:rsidRPr="00D65876">
        <w:tc>
          <w:tcPr>
            <w:tcW w:w="9711" w:type="dxa"/>
            <w:gridSpan w:val="2"/>
            <w:tcBorders>
              <w:top w:val="nil"/>
              <w:left w:val="nil"/>
              <w:bottom w:val="nil"/>
              <w:right w:val="nil"/>
            </w:tcBorders>
          </w:tcPr>
          <w:p w:rsidR="00D378C8" w:rsidRPr="00D65876" w:rsidRDefault="00D378C8">
            <w:pPr>
              <w:jc w:val="center"/>
              <w:rPr>
                <w:rFonts w:ascii="標楷體" w:eastAsia="標楷體" w:hAnsi="標楷體"/>
              </w:rPr>
            </w:pPr>
            <w:bookmarkStart w:id="0" w:name="_GoBack"/>
            <w:r w:rsidRPr="00D65876">
              <w:rPr>
                <w:rFonts w:ascii="標楷體" w:eastAsia="標楷體" w:hAnsi="標楷體" w:cs="標楷體" w:hint="eastAsia"/>
              </w:rPr>
              <w:t>統計資料背景說明</w:t>
            </w:r>
          </w:p>
        </w:tc>
      </w:tr>
      <w:tr w:rsidR="00D65876" w:rsidRPr="00D65876">
        <w:tc>
          <w:tcPr>
            <w:tcW w:w="9711" w:type="dxa"/>
            <w:gridSpan w:val="2"/>
            <w:tcBorders>
              <w:top w:val="nil"/>
              <w:left w:val="nil"/>
              <w:bottom w:val="nil"/>
              <w:right w:val="nil"/>
            </w:tcBorders>
          </w:tcPr>
          <w:p w:rsidR="00D378C8" w:rsidRPr="00D65876" w:rsidRDefault="00D378C8">
            <w:pPr>
              <w:rPr>
                <w:rFonts w:ascii="標楷體" w:eastAsia="標楷體" w:hAnsi="標楷體"/>
              </w:rPr>
            </w:pPr>
            <w:r w:rsidRPr="00D65876">
              <w:rPr>
                <w:rFonts w:ascii="標楷體" w:eastAsia="標楷體" w:hAnsi="標楷體" w:cs="標楷體" w:hint="eastAsia"/>
                <w:sz w:val="20"/>
                <w:szCs w:val="20"/>
              </w:rPr>
              <w:t>資料種類：土地統計</w:t>
            </w:r>
          </w:p>
        </w:tc>
      </w:tr>
      <w:tr w:rsidR="00D65876" w:rsidRPr="00D65876">
        <w:tc>
          <w:tcPr>
            <w:tcW w:w="9711" w:type="dxa"/>
            <w:gridSpan w:val="2"/>
            <w:tcBorders>
              <w:top w:val="nil"/>
              <w:left w:val="nil"/>
              <w:bottom w:val="nil"/>
              <w:right w:val="nil"/>
            </w:tcBorders>
          </w:tcPr>
          <w:p w:rsidR="00D378C8" w:rsidRPr="00D65876" w:rsidRDefault="00D378C8">
            <w:pPr>
              <w:rPr>
                <w:rFonts w:ascii="標楷體" w:eastAsia="標楷體" w:hAnsi="標楷體"/>
              </w:rPr>
            </w:pPr>
            <w:r w:rsidRPr="00D65876">
              <w:rPr>
                <w:rFonts w:ascii="標楷體" w:eastAsia="標楷體" w:hAnsi="標楷體" w:cs="標楷體" w:hint="eastAsia"/>
                <w:sz w:val="20"/>
                <w:szCs w:val="20"/>
              </w:rPr>
              <w:t>資料項目：臺中市中正地政事務所外國人地權登記管理</w:t>
            </w:r>
          </w:p>
        </w:tc>
      </w:tr>
      <w:tr w:rsidR="00D65876" w:rsidRPr="00D65876">
        <w:tc>
          <w:tcPr>
            <w:tcW w:w="9711" w:type="dxa"/>
            <w:gridSpan w:val="2"/>
            <w:tcBorders>
              <w:top w:val="nil"/>
              <w:left w:val="nil"/>
              <w:bottom w:val="nil"/>
              <w:right w:val="nil"/>
            </w:tcBorders>
          </w:tcPr>
          <w:p w:rsidR="00D378C8" w:rsidRPr="00D65876" w:rsidRDefault="00D378C8" w:rsidP="000C735C">
            <w:pPr>
              <w:spacing w:beforeLines="50" w:before="180"/>
              <w:rPr>
                <w:rFonts w:ascii="標楷體" w:eastAsia="標楷體" w:hAnsi="標楷體"/>
                <w:sz w:val="20"/>
                <w:szCs w:val="20"/>
              </w:rPr>
            </w:pPr>
            <w:r w:rsidRPr="00D65876">
              <w:rPr>
                <w:rFonts w:ascii="標楷體" w:eastAsia="標楷體" w:hAnsi="標楷體" w:cs="標楷體" w:hint="eastAsia"/>
                <w:sz w:val="20"/>
                <w:szCs w:val="20"/>
              </w:rPr>
              <w:t>一、發布及編製機關單位</w:t>
            </w:r>
          </w:p>
        </w:tc>
      </w:tr>
      <w:tr w:rsidR="00D65876" w:rsidRPr="00D65876" w:rsidTr="00E95855">
        <w:tc>
          <w:tcPr>
            <w:tcW w:w="9711" w:type="dxa"/>
            <w:gridSpan w:val="2"/>
            <w:tcBorders>
              <w:top w:val="nil"/>
              <w:left w:val="nil"/>
              <w:bottom w:val="nil"/>
              <w:right w:val="nil"/>
            </w:tcBorders>
          </w:tcPr>
          <w:p w:rsidR="00D378C8" w:rsidRPr="00D65876" w:rsidRDefault="00D378C8" w:rsidP="00D378C8">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＊發布機關、單位：臺中市中正地政事務所會計室</w:t>
            </w:r>
          </w:p>
          <w:p w:rsidR="00D378C8" w:rsidRPr="00D65876" w:rsidRDefault="00D378C8" w:rsidP="00D378C8">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＊編製單位：臺中市中正地政事務所第四課</w:t>
            </w:r>
          </w:p>
          <w:p w:rsidR="00D378C8" w:rsidRPr="00D65876" w:rsidRDefault="00D378C8" w:rsidP="00D378C8">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＊聯絡電話：</w:t>
            </w:r>
            <w:r w:rsidRPr="00D65876">
              <w:rPr>
                <w:rFonts w:ascii="標楷體" w:eastAsia="標楷體" w:hAnsi="標楷體" w:cs="標楷體"/>
                <w:sz w:val="20"/>
                <w:szCs w:val="20"/>
              </w:rPr>
              <w:t>04-22372388#40</w:t>
            </w:r>
            <w:r w:rsidR="00EE779A" w:rsidRPr="00D65876">
              <w:rPr>
                <w:rFonts w:ascii="標楷體" w:eastAsia="標楷體" w:hAnsi="標楷體" w:cs="標楷體" w:hint="eastAsia"/>
                <w:sz w:val="20"/>
                <w:szCs w:val="20"/>
              </w:rPr>
              <w:t>2</w:t>
            </w:r>
          </w:p>
          <w:p w:rsidR="00D378C8" w:rsidRPr="00D65876" w:rsidRDefault="00D378C8" w:rsidP="00D378C8">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＊傳真：</w:t>
            </w:r>
            <w:r w:rsidRPr="00D65876">
              <w:rPr>
                <w:rFonts w:ascii="標楷體" w:eastAsia="標楷體" w:hAnsi="標楷體" w:cs="標楷體"/>
                <w:sz w:val="20"/>
                <w:szCs w:val="20"/>
              </w:rPr>
              <w:t>04-22376282</w:t>
            </w:r>
          </w:p>
          <w:p w:rsidR="00D378C8" w:rsidRPr="00D65876" w:rsidRDefault="00D378C8" w:rsidP="00D519D3">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＊電子信箱：</w:t>
            </w:r>
            <w:r w:rsidR="00D519D3" w:rsidRPr="00D65876">
              <w:rPr>
                <w:rFonts w:ascii="標楷體" w:eastAsia="標楷體" w:hAnsi="標楷體" w:cs="標楷體"/>
                <w:sz w:val="20"/>
                <w:szCs w:val="20"/>
              </w:rPr>
              <w:t>B21320</w:t>
            </w:r>
            <w:r w:rsidR="00CF1321" w:rsidRPr="00D65876">
              <w:rPr>
                <w:rFonts w:ascii="標楷體" w:eastAsia="標楷體" w:hAnsi="標楷體" w:cs="標楷體"/>
                <w:sz w:val="20"/>
                <w:szCs w:val="20"/>
              </w:rPr>
              <w:t>@taichung.gov.tw</w:t>
            </w:r>
          </w:p>
        </w:tc>
      </w:tr>
      <w:tr w:rsidR="00D65876" w:rsidRPr="00D65876">
        <w:tc>
          <w:tcPr>
            <w:tcW w:w="9711" w:type="dxa"/>
            <w:gridSpan w:val="2"/>
            <w:tcBorders>
              <w:top w:val="nil"/>
              <w:left w:val="nil"/>
              <w:bottom w:val="nil"/>
              <w:right w:val="nil"/>
            </w:tcBorders>
          </w:tcPr>
          <w:p w:rsidR="00D378C8" w:rsidRPr="00D65876" w:rsidRDefault="00D378C8" w:rsidP="00D378C8">
            <w:pPr>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二、發布形式</w:t>
            </w:r>
          </w:p>
        </w:tc>
      </w:tr>
      <w:tr w:rsidR="00D65876" w:rsidRPr="00D65876">
        <w:tc>
          <w:tcPr>
            <w:tcW w:w="498" w:type="dxa"/>
            <w:tcBorders>
              <w:top w:val="nil"/>
              <w:left w:val="nil"/>
              <w:bottom w:val="nil"/>
              <w:right w:val="nil"/>
            </w:tcBorders>
          </w:tcPr>
          <w:p w:rsidR="00D378C8" w:rsidRPr="00D65876" w:rsidRDefault="00D378C8">
            <w:pPr>
              <w:rPr>
                <w:rFonts w:ascii="標楷體" w:eastAsia="標楷體" w:hAnsi="標楷體"/>
              </w:rPr>
            </w:pPr>
          </w:p>
        </w:tc>
        <w:tc>
          <w:tcPr>
            <w:tcW w:w="9213" w:type="dxa"/>
            <w:tcBorders>
              <w:top w:val="nil"/>
              <w:left w:val="nil"/>
              <w:bottom w:val="nil"/>
              <w:right w:val="nil"/>
            </w:tcBorders>
          </w:tcPr>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＊口頭：（）記者會或說明會</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＊書面：（）新聞稿（</w:t>
            </w:r>
            <w:r w:rsidRPr="00D65876">
              <w:rPr>
                <w:rFonts w:ascii="標楷體" w:eastAsia="標楷體" w:hAnsi="標楷體" w:cs="標楷體"/>
                <w:sz w:val="20"/>
                <w:szCs w:val="20"/>
              </w:rPr>
              <w:t>V</w:t>
            </w:r>
            <w:r w:rsidRPr="00D65876">
              <w:rPr>
                <w:rFonts w:ascii="標楷體" w:eastAsia="標楷體" w:hAnsi="標楷體" w:cs="標楷體" w:hint="eastAsia"/>
                <w:sz w:val="20"/>
                <w:szCs w:val="20"/>
              </w:rPr>
              <w:t>）報表（）書刊，</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＊電子媒體：</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w:t>
            </w:r>
            <w:r w:rsidRPr="00D65876">
              <w:rPr>
                <w:rFonts w:ascii="標楷體" w:eastAsia="標楷體" w:hAnsi="標楷體" w:cs="標楷體"/>
                <w:sz w:val="20"/>
                <w:szCs w:val="20"/>
              </w:rPr>
              <w:t>V</w:t>
            </w:r>
            <w:r w:rsidRPr="00D65876">
              <w:rPr>
                <w:rFonts w:ascii="標楷體" w:eastAsia="標楷體" w:hAnsi="標楷體" w:cs="標楷體" w:hint="eastAsia"/>
                <w:sz w:val="20"/>
                <w:szCs w:val="20"/>
              </w:rPr>
              <w:t>）線上書刊及資料庫，網址：</w:t>
            </w:r>
          </w:p>
          <w:p w:rsidR="00D378C8" w:rsidRPr="00D65876" w:rsidRDefault="00C44916" w:rsidP="00D17848">
            <w:pPr>
              <w:spacing w:line="240" w:lineRule="atLeast"/>
              <w:rPr>
                <w:rFonts w:ascii="標楷體" w:eastAsia="標楷體" w:hAnsi="標楷體" w:cs="標楷體"/>
                <w:sz w:val="20"/>
                <w:szCs w:val="20"/>
              </w:rPr>
            </w:pPr>
            <w:r w:rsidRPr="00D65876">
              <w:t>http</w:t>
            </w:r>
            <w:r w:rsidR="00A517D1" w:rsidRPr="00D65876">
              <w:t>s</w:t>
            </w:r>
            <w:r w:rsidRPr="00D65876">
              <w:t>://govstat.taichung.gov.tw/TCSTAT/Page/kcg01_2.aspx?Mid1=387162100A</w:t>
            </w:r>
          </w:p>
          <w:p w:rsidR="00D378C8" w:rsidRPr="00D65876" w:rsidRDefault="00D378C8" w:rsidP="00D378C8">
            <w:pPr>
              <w:spacing w:line="240" w:lineRule="atLeast"/>
              <w:ind w:leftChars="-1875" w:left="-4500" w:firstLineChars="2196" w:firstLine="4392"/>
              <w:rPr>
                <w:rFonts w:ascii="標楷體" w:eastAsia="標楷體" w:hAnsi="標楷體"/>
              </w:rPr>
            </w:pPr>
            <w:r w:rsidRPr="00D65876">
              <w:rPr>
                <w:rFonts w:ascii="標楷體" w:eastAsia="標楷體" w:hAnsi="標楷體" w:cs="標楷體" w:hint="eastAsia"/>
                <w:sz w:val="20"/>
                <w:szCs w:val="20"/>
              </w:rPr>
              <w:t>（）磁片（）光碟片（）其他</w:t>
            </w:r>
          </w:p>
        </w:tc>
      </w:tr>
      <w:tr w:rsidR="00D65876" w:rsidRPr="00D65876">
        <w:tc>
          <w:tcPr>
            <w:tcW w:w="9711" w:type="dxa"/>
            <w:gridSpan w:val="2"/>
            <w:tcBorders>
              <w:top w:val="nil"/>
              <w:left w:val="nil"/>
              <w:bottom w:val="nil"/>
              <w:right w:val="nil"/>
            </w:tcBorders>
          </w:tcPr>
          <w:p w:rsidR="00D378C8" w:rsidRPr="00D65876" w:rsidRDefault="00D378C8" w:rsidP="00D378C8">
            <w:pPr>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三、資料範圍、週期及時效</w:t>
            </w:r>
          </w:p>
        </w:tc>
      </w:tr>
      <w:tr w:rsidR="00D65876" w:rsidRPr="00D65876">
        <w:tc>
          <w:tcPr>
            <w:tcW w:w="498" w:type="dxa"/>
            <w:tcBorders>
              <w:top w:val="nil"/>
              <w:left w:val="nil"/>
              <w:bottom w:val="nil"/>
              <w:right w:val="nil"/>
            </w:tcBorders>
          </w:tcPr>
          <w:p w:rsidR="00D378C8" w:rsidRPr="00D65876" w:rsidRDefault="00D378C8">
            <w:pPr>
              <w:rPr>
                <w:rFonts w:ascii="標楷體" w:eastAsia="標楷體" w:hAnsi="標楷體"/>
              </w:rPr>
            </w:pPr>
          </w:p>
        </w:tc>
        <w:tc>
          <w:tcPr>
            <w:tcW w:w="9213" w:type="dxa"/>
            <w:tcBorders>
              <w:top w:val="nil"/>
              <w:left w:val="nil"/>
              <w:bottom w:val="nil"/>
              <w:right w:val="nil"/>
            </w:tcBorders>
          </w:tcPr>
          <w:p w:rsidR="00E95855" w:rsidRPr="00D65876" w:rsidRDefault="00D378C8" w:rsidP="00D378C8">
            <w:pPr>
              <w:spacing w:line="240" w:lineRule="atLeast"/>
              <w:ind w:leftChars="-1875" w:left="-4500" w:firstLineChars="2196" w:firstLine="4392"/>
              <w:rPr>
                <w:rFonts w:ascii="標楷體" w:eastAsia="標楷體" w:hAnsi="標楷體" w:cs="標楷體"/>
                <w:sz w:val="20"/>
                <w:szCs w:val="20"/>
              </w:rPr>
            </w:pPr>
            <w:r w:rsidRPr="00D65876">
              <w:rPr>
                <w:rFonts w:ascii="標楷體" w:eastAsia="標楷體" w:hAnsi="標楷體" w:cs="標楷體" w:hint="eastAsia"/>
                <w:sz w:val="20"/>
                <w:szCs w:val="20"/>
              </w:rPr>
              <w:t>＊統計地區範圍及對象：凡在本所轄區內外國人之地權登記，經地政機關核准所有權與他項權利之登記</w:t>
            </w:r>
          </w:p>
          <w:p w:rsidR="00D378C8" w:rsidRPr="00D65876" w:rsidRDefault="00D378C8" w:rsidP="00E95855">
            <w:pPr>
              <w:spacing w:line="240" w:lineRule="atLeast"/>
              <w:ind w:leftChars="-1875" w:left="-4500" w:firstLineChars="3276" w:firstLine="6552"/>
              <w:rPr>
                <w:rFonts w:ascii="標楷體" w:eastAsia="標楷體" w:hAnsi="標楷體"/>
                <w:sz w:val="20"/>
                <w:szCs w:val="20"/>
              </w:rPr>
            </w:pPr>
            <w:r w:rsidRPr="00D65876">
              <w:rPr>
                <w:rFonts w:ascii="標楷體" w:eastAsia="標楷體" w:hAnsi="標楷體" w:cs="標楷體" w:hint="eastAsia"/>
                <w:sz w:val="20"/>
                <w:szCs w:val="20"/>
              </w:rPr>
              <w:t>均為統計對象。</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＊統計標準時間：以每月</w:t>
            </w:r>
            <w:r w:rsidRPr="00D65876">
              <w:rPr>
                <w:rFonts w:ascii="標楷體" w:eastAsia="標楷體" w:hAnsi="標楷體" w:cs="標楷體"/>
                <w:sz w:val="20"/>
                <w:szCs w:val="20"/>
              </w:rPr>
              <w:t>1</w:t>
            </w:r>
            <w:r w:rsidRPr="00D65876">
              <w:rPr>
                <w:rFonts w:ascii="標楷體" w:eastAsia="標楷體" w:hAnsi="標楷體" w:cs="標楷體" w:hint="eastAsia"/>
                <w:sz w:val="20"/>
                <w:szCs w:val="20"/>
              </w:rPr>
              <w:t>日至月底之事實為準。</w:t>
            </w:r>
          </w:p>
          <w:p w:rsidR="00D378C8" w:rsidRPr="00D65876" w:rsidRDefault="00D378C8" w:rsidP="00D378C8">
            <w:pPr>
              <w:spacing w:line="240" w:lineRule="atLeast"/>
              <w:ind w:leftChars="-1875" w:left="-4500" w:firstLineChars="2196" w:firstLine="4392"/>
              <w:rPr>
                <w:rFonts w:ascii="標楷體" w:eastAsia="標楷體" w:hAnsi="標楷體"/>
              </w:rPr>
            </w:pPr>
            <w:r w:rsidRPr="00D65876">
              <w:rPr>
                <w:rFonts w:ascii="標楷體" w:eastAsia="標楷體" w:hAnsi="標楷體" w:cs="標楷體" w:hint="eastAsia"/>
                <w:sz w:val="20"/>
                <w:szCs w:val="20"/>
              </w:rPr>
              <w:t>＊統計項目定義：</w:t>
            </w:r>
          </w:p>
        </w:tc>
      </w:tr>
      <w:tr w:rsidR="00D65876" w:rsidRPr="00D65876">
        <w:tc>
          <w:tcPr>
            <w:tcW w:w="498" w:type="dxa"/>
            <w:tcBorders>
              <w:top w:val="nil"/>
              <w:left w:val="nil"/>
              <w:bottom w:val="nil"/>
              <w:right w:val="nil"/>
            </w:tcBorders>
          </w:tcPr>
          <w:p w:rsidR="00D378C8" w:rsidRPr="00D65876" w:rsidRDefault="00D378C8">
            <w:pPr>
              <w:rPr>
                <w:rFonts w:ascii="標楷體" w:eastAsia="標楷體" w:hAnsi="標楷體"/>
              </w:rPr>
            </w:pPr>
          </w:p>
        </w:tc>
        <w:tc>
          <w:tcPr>
            <w:tcW w:w="9213" w:type="dxa"/>
            <w:tcBorders>
              <w:top w:val="nil"/>
              <w:left w:val="nil"/>
              <w:bottom w:val="nil"/>
              <w:right w:val="nil"/>
            </w:tcBorders>
          </w:tcPr>
          <w:p w:rsidR="00D519D3" w:rsidRPr="00D65876" w:rsidRDefault="00D519D3" w:rsidP="00D519D3">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所有權取得登記:分買賣、拍賣、繼承、贈與、其他；以權利人為外國人之統計。</w:t>
            </w:r>
          </w:p>
          <w:p w:rsidR="00D519D3" w:rsidRPr="00D65876" w:rsidRDefault="00D519D3" w:rsidP="00D519D3">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所有權移轉登記:分買賣、拍賣、繼承、贈與、其他；以義務人為外國人之統計。</w:t>
            </w:r>
          </w:p>
          <w:p w:rsidR="00D519D3" w:rsidRPr="00D65876" w:rsidRDefault="00D519D3" w:rsidP="00D519D3">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他項權利設定登記:指設定、法定、判決設定、調解設定、和解設定、預為抵押權。</w:t>
            </w:r>
          </w:p>
          <w:p w:rsidR="00D519D3" w:rsidRPr="00D65876" w:rsidRDefault="00D519D3" w:rsidP="009B3968">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他項權利移轉登記:指讓與、贈與、法人合併、繼承、遺贈、分割繼承、接管、夫妻贈與、剩餘財產差額分配、共有型態變更、收歸國有、執行命令、信託、信託歸屬、信託取得、受託人變更、塗銷信託。</w:t>
            </w:r>
          </w:p>
          <w:p w:rsidR="00D519D3" w:rsidRPr="00D65876" w:rsidRDefault="00D519D3" w:rsidP="000322C2">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他項權利變更登記:次序讓與、擔保物增加、擔保物減少、權利價值變更、權利範圍變更、存續時間變更、清償日期變更、利息變更、義務人變更、債務人變更、權利內容等變更、違約金變更、法院囑託回復、撤銷徵收、剩餘財產分派、持分合併。</w:t>
            </w:r>
          </w:p>
          <w:p w:rsidR="00D519D3" w:rsidRPr="00D65876" w:rsidRDefault="00D519D3" w:rsidP="00D519D3">
            <w:pPr>
              <w:pStyle w:val="a8"/>
              <w:numPr>
                <w:ilvl w:val="0"/>
                <w:numId w:val="1"/>
              </w:numPr>
              <w:spacing w:line="240" w:lineRule="atLeast"/>
              <w:rPr>
                <w:rFonts w:ascii="標楷體" w:eastAsia="標楷體" w:hAnsi="標楷體" w:cs="標楷體"/>
                <w:sz w:val="20"/>
                <w:szCs w:val="20"/>
              </w:rPr>
            </w:pPr>
            <w:r w:rsidRPr="00D65876">
              <w:rPr>
                <w:rFonts w:ascii="標楷體" w:eastAsia="標楷體" w:hAnsi="標楷體" w:cs="標楷體" w:hint="eastAsia"/>
                <w:sz w:val="20"/>
                <w:szCs w:val="20"/>
              </w:rPr>
              <w:t>他項權利塗銷登記:法院囑託塗銷、清償、部分清償、逕為塗銷、混同、徵收、拋棄、部分拋棄、判決塗銷、和解塗銷、調解塗銷。</w:t>
            </w:r>
          </w:p>
          <w:p w:rsidR="00D378C8" w:rsidRPr="00D65876" w:rsidRDefault="00D519D3" w:rsidP="00D519D3">
            <w:pPr>
              <w:pStyle w:val="a8"/>
              <w:numPr>
                <w:ilvl w:val="0"/>
                <w:numId w:val="1"/>
              </w:numPr>
              <w:spacing w:line="240" w:lineRule="atLeast"/>
              <w:rPr>
                <w:rFonts w:ascii="標楷體" w:eastAsia="標楷體" w:hAnsi="標楷體"/>
                <w:sz w:val="20"/>
                <w:szCs w:val="20"/>
              </w:rPr>
            </w:pPr>
            <w:r w:rsidRPr="00D65876">
              <w:rPr>
                <w:rFonts w:ascii="標楷體" w:eastAsia="標楷體" w:hAnsi="標楷體" w:cs="標楷體" w:hint="eastAsia"/>
                <w:sz w:val="20"/>
                <w:szCs w:val="20"/>
              </w:rPr>
              <w:t>外國人地權所有權登記之義務人及權利人皆為外國人時以權利人為準，他項權利登記義務人或權利人任何一方為外國人時，皆需統計。</w:t>
            </w:r>
          </w:p>
        </w:tc>
      </w:tr>
      <w:tr w:rsidR="00D65876" w:rsidRPr="00D65876">
        <w:tc>
          <w:tcPr>
            <w:tcW w:w="498" w:type="dxa"/>
            <w:tcBorders>
              <w:top w:val="nil"/>
              <w:left w:val="nil"/>
              <w:bottom w:val="nil"/>
              <w:right w:val="nil"/>
            </w:tcBorders>
          </w:tcPr>
          <w:p w:rsidR="00D378C8" w:rsidRPr="00D65876" w:rsidRDefault="00D378C8">
            <w:pPr>
              <w:rPr>
                <w:rFonts w:ascii="標楷體" w:eastAsia="標楷體" w:hAnsi="標楷體"/>
              </w:rPr>
            </w:pPr>
          </w:p>
        </w:tc>
        <w:tc>
          <w:tcPr>
            <w:tcW w:w="9213" w:type="dxa"/>
            <w:tcBorders>
              <w:top w:val="nil"/>
              <w:left w:val="nil"/>
              <w:bottom w:val="nil"/>
              <w:right w:val="nil"/>
            </w:tcBorders>
          </w:tcPr>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＊統計單位：件；筆；平方公尺。</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＊統計分類：按件數、土地</w:t>
            </w:r>
            <w:r w:rsidRPr="00D65876">
              <w:rPr>
                <w:rFonts w:ascii="標楷體" w:eastAsia="標楷體" w:hAnsi="標楷體" w:cs="標楷體"/>
                <w:sz w:val="20"/>
                <w:szCs w:val="20"/>
              </w:rPr>
              <w:t>(</w:t>
            </w:r>
            <w:r w:rsidRPr="00D65876">
              <w:rPr>
                <w:rFonts w:ascii="標楷體" w:eastAsia="標楷體" w:hAnsi="標楷體" w:cs="標楷體" w:hint="eastAsia"/>
                <w:sz w:val="20"/>
                <w:szCs w:val="20"/>
              </w:rPr>
              <w:t>筆數</w:t>
            </w:r>
            <w:r w:rsidRPr="00D65876">
              <w:rPr>
                <w:rFonts w:ascii="標楷體" w:eastAsia="標楷體" w:hAnsi="標楷體" w:cs="標楷體"/>
                <w:sz w:val="20"/>
                <w:szCs w:val="20"/>
              </w:rPr>
              <w:t>)</w:t>
            </w:r>
            <w:r w:rsidRPr="00D65876">
              <w:rPr>
                <w:rFonts w:ascii="標楷體" w:eastAsia="標楷體" w:hAnsi="標楷體" w:cs="標楷體" w:hint="eastAsia"/>
                <w:sz w:val="20"/>
                <w:szCs w:val="20"/>
              </w:rPr>
              <w:t>、建物</w:t>
            </w:r>
            <w:r w:rsidRPr="00D65876">
              <w:rPr>
                <w:rFonts w:ascii="標楷體" w:eastAsia="標楷體" w:hAnsi="標楷體" w:cs="標楷體"/>
                <w:sz w:val="20"/>
                <w:szCs w:val="20"/>
              </w:rPr>
              <w:t>(</w:t>
            </w:r>
            <w:r w:rsidRPr="00D65876">
              <w:rPr>
                <w:rFonts w:ascii="標楷體" w:eastAsia="標楷體" w:hAnsi="標楷體" w:cs="標楷體" w:hint="eastAsia"/>
                <w:sz w:val="20"/>
                <w:szCs w:val="20"/>
              </w:rPr>
              <w:t>棟數</w:t>
            </w:r>
            <w:r w:rsidRPr="00D65876">
              <w:rPr>
                <w:rFonts w:ascii="標楷體" w:eastAsia="標楷體" w:hAnsi="標楷體" w:cs="標楷體"/>
                <w:sz w:val="20"/>
                <w:szCs w:val="20"/>
              </w:rPr>
              <w:t>)</w:t>
            </w:r>
            <w:r w:rsidRPr="00D65876">
              <w:rPr>
                <w:rFonts w:ascii="標楷體" w:eastAsia="標楷體" w:hAnsi="標楷體" w:cs="標楷體" w:hint="eastAsia"/>
                <w:sz w:val="20"/>
                <w:szCs w:val="20"/>
              </w:rPr>
              <w:t>、面積、所有權登記、他項權利登記等分類。</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＊發布週期：按月。</w:t>
            </w:r>
          </w:p>
          <w:p w:rsidR="00D378C8" w:rsidRPr="00D65876" w:rsidRDefault="00D378C8" w:rsidP="00D378C8">
            <w:pPr>
              <w:spacing w:line="240" w:lineRule="atLeast"/>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＊時效：</w:t>
            </w:r>
            <w:r w:rsidRPr="00D65876">
              <w:rPr>
                <w:rFonts w:ascii="標楷體" w:eastAsia="標楷體" w:hAnsi="標楷體" w:cs="標楷體"/>
                <w:sz w:val="20"/>
                <w:szCs w:val="20"/>
              </w:rPr>
              <w:t>10</w:t>
            </w:r>
            <w:r w:rsidR="00E95855" w:rsidRPr="00D65876">
              <w:rPr>
                <w:rFonts w:ascii="標楷體" w:eastAsia="標楷體" w:hAnsi="標楷體" w:cs="標楷體" w:hint="eastAsia"/>
                <w:sz w:val="20"/>
                <w:szCs w:val="20"/>
              </w:rPr>
              <w:t>天</w:t>
            </w:r>
            <w:r w:rsidRPr="00D65876">
              <w:rPr>
                <w:rFonts w:ascii="標楷體" w:eastAsia="標楷體" w:hAnsi="標楷體" w:cs="標楷體" w:hint="eastAsia"/>
                <w:sz w:val="20"/>
                <w:szCs w:val="20"/>
              </w:rPr>
              <w:t>。</w:t>
            </w:r>
          </w:p>
          <w:p w:rsidR="00D378C8" w:rsidRPr="00D65876" w:rsidRDefault="00D378C8" w:rsidP="00D378C8">
            <w:pPr>
              <w:spacing w:line="240" w:lineRule="atLeast"/>
              <w:ind w:leftChars="-1875" w:left="-4500" w:firstLineChars="2196" w:firstLine="4392"/>
              <w:rPr>
                <w:rFonts w:ascii="標楷體" w:eastAsia="標楷體" w:hAnsi="標楷體"/>
              </w:rPr>
            </w:pPr>
            <w:r w:rsidRPr="00D65876">
              <w:rPr>
                <w:rFonts w:ascii="標楷體" w:eastAsia="標楷體" w:hAnsi="標楷體" w:cs="標楷體" w:hint="eastAsia"/>
                <w:sz w:val="20"/>
                <w:szCs w:val="20"/>
              </w:rPr>
              <w:t>＊資料變革：無。</w:t>
            </w:r>
          </w:p>
        </w:tc>
      </w:tr>
      <w:tr w:rsidR="00D65876" w:rsidRPr="00D65876">
        <w:trPr>
          <w:trHeight w:val="534"/>
        </w:trPr>
        <w:tc>
          <w:tcPr>
            <w:tcW w:w="9711" w:type="dxa"/>
            <w:gridSpan w:val="2"/>
            <w:tcBorders>
              <w:top w:val="nil"/>
              <w:left w:val="nil"/>
              <w:bottom w:val="nil"/>
              <w:right w:val="nil"/>
            </w:tcBorders>
          </w:tcPr>
          <w:p w:rsidR="00D378C8" w:rsidRPr="00D65876" w:rsidRDefault="00D378C8">
            <w:pPr>
              <w:jc w:val="both"/>
              <w:rPr>
                <w:rFonts w:ascii="標楷體" w:eastAsia="標楷體" w:hAnsi="標楷體"/>
                <w:sz w:val="20"/>
                <w:szCs w:val="20"/>
              </w:rPr>
            </w:pPr>
            <w:r w:rsidRPr="00D65876">
              <w:rPr>
                <w:rFonts w:ascii="標楷體" w:eastAsia="標楷體" w:hAnsi="標楷體" w:cs="標楷體" w:hint="eastAsia"/>
                <w:sz w:val="20"/>
                <w:szCs w:val="20"/>
              </w:rPr>
              <w:lastRenderedPageBreak/>
              <w:t>四、公開資料發布訊息：</w:t>
            </w:r>
          </w:p>
          <w:p w:rsidR="00E95855" w:rsidRPr="00D65876" w:rsidRDefault="00D378C8" w:rsidP="00E95855">
            <w:pPr>
              <w:spacing w:line="240" w:lineRule="atLeast"/>
              <w:ind w:leftChars="-1875" w:left="-4500" w:firstLineChars="2409" w:firstLine="4818"/>
              <w:rPr>
                <w:rFonts w:eastAsia="標楷體" w:cs="標楷體"/>
                <w:sz w:val="20"/>
                <w:szCs w:val="20"/>
              </w:rPr>
            </w:pPr>
            <w:r w:rsidRPr="00D65876">
              <w:rPr>
                <w:rFonts w:ascii="標楷體" w:eastAsia="標楷體" w:hAnsi="標楷體" w:cs="標楷體" w:hint="eastAsia"/>
                <w:sz w:val="20"/>
                <w:szCs w:val="20"/>
              </w:rPr>
              <w:t>＊預告發布日期：每月資料於次月</w:t>
            </w:r>
            <w:r w:rsidRPr="00D65876">
              <w:rPr>
                <w:rFonts w:ascii="標楷體" w:eastAsia="標楷體" w:hAnsi="標楷體" w:cs="標楷體"/>
                <w:sz w:val="20"/>
                <w:szCs w:val="20"/>
              </w:rPr>
              <w:t>10</w:t>
            </w:r>
            <w:r w:rsidRPr="00D65876">
              <w:rPr>
                <w:rFonts w:ascii="標楷體" w:eastAsia="標楷體" w:hAnsi="標楷體" w:cs="標楷體" w:hint="eastAsia"/>
                <w:sz w:val="20"/>
                <w:szCs w:val="20"/>
              </w:rPr>
              <w:t>日。</w:t>
            </w:r>
            <w:r w:rsidRPr="00D65876">
              <w:rPr>
                <w:rFonts w:eastAsia="標楷體"/>
                <w:sz w:val="20"/>
                <w:szCs w:val="20"/>
              </w:rPr>
              <w:t>(</w:t>
            </w:r>
            <w:r w:rsidRPr="00D65876">
              <w:rPr>
                <w:rFonts w:eastAsia="標楷體" w:cs="標楷體" w:hint="eastAsia"/>
                <w:sz w:val="20"/>
                <w:szCs w:val="20"/>
              </w:rPr>
              <w:t>原訂預告發布日期如遇例假日或國定假日則延至下一個工作日</w:t>
            </w:r>
          </w:p>
          <w:p w:rsidR="00D378C8" w:rsidRPr="00D65876" w:rsidRDefault="00D378C8" w:rsidP="00E95855">
            <w:pPr>
              <w:spacing w:line="240" w:lineRule="atLeast"/>
              <w:ind w:leftChars="-1875" w:left="-4500" w:firstLineChars="3208" w:firstLine="6416"/>
              <w:rPr>
                <w:rFonts w:ascii="標楷體" w:eastAsia="標楷體" w:hAnsi="標楷體"/>
                <w:sz w:val="20"/>
                <w:szCs w:val="20"/>
              </w:rPr>
            </w:pPr>
            <w:r w:rsidRPr="00D65876">
              <w:rPr>
                <w:rFonts w:eastAsia="標楷體" w:cs="標楷體" w:hint="eastAsia"/>
                <w:sz w:val="20"/>
                <w:szCs w:val="20"/>
              </w:rPr>
              <w:t>發布</w:t>
            </w:r>
            <w:r w:rsidRPr="00D65876">
              <w:rPr>
                <w:rFonts w:eastAsia="標楷體"/>
                <w:sz w:val="20"/>
                <w:szCs w:val="20"/>
              </w:rPr>
              <w:t>)</w:t>
            </w:r>
          </w:p>
          <w:p w:rsidR="00D378C8" w:rsidRPr="00D65876" w:rsidRDefault="00D378C8" w:rsidP="00E95855">
            <w:pPr>
              <w:spacing w:line="240" w:lineRule="atLeast"/>
              <w:ind w:leftChars="-1875" w:left="-4500" w:firstLineChars="2409" w:firstLine="4818"/>
              <w:rPr>
                <w:rFonts w:ascii="標楷體" w:eastAsia="標楷體" w:hAnsi="標楷體"/>
              </w:rPr>
            </w:pPr>
            <w:r w:rsidRPr="00D65876">
              <w:rPr>
                <w:rFonts w:ascii="標楷體" w:eastAsia="標楷體" w:hAnsi="標楷體" w:cs="標楷體" w:hint="eastAsia"/>
                <w:sz w:val="20"/>
                <w:szCs w:val="20"/>
              </w:rPr>
              <w:t>＊同步發送單位：臺中市政府主計處、臺中市政府地政局。</w:t>
            </w:r>
          </w:p>
        </w:tc>
      </w:tr>
      <w:tr w:rsidR="00D65876" w:rsidRPr="00D65876">
        <w:tc>
          <w:tcPr>
            <w:tcW w:w="9711" w:type="dxa"/>
            <w:gridSpan w:val="2"/>
            <w:tcBorders>
              <w:top w:val="nil"/>
              <w:left w:val="nil"/>
              <w:bottom w:val="nil"/>
              <w:right w:val="nil"/>
            </w:tcBorders>
          </w:tcPr>
          <w:p w:rsidR="00D378C8" w:rsidRPr="00D65876" w:rsidRDefault="00D378C8" w:rsidP="00D378C8">
            <w:pPr>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五、資料品質：</w:t>
            </w:r>
          </w:p>
          <w:p w:rsidR="00E95855" w:rsidRPr="00D65876" w:rsidRDefault="00D378C8" w:rsidP="00E95855">
            <w:pPr>
              <w:spacing w:line="240" w:lineRule="atLeast"/>
              <w:ind w:leftChars="-1875" w:left="-4500" w:firstLineChars="2409" w:firstLine="4818"/>
              <w:rPr>
                <w:rFonts w:ascii="標楷體" w:eastAsia="標楷體" w:hAnsi="標楷體"/>
                <w:sz w:val="20"/>
                <w:szCs w:val="20"/>
              </w:rPr>
            </w:pPr>
            <w:r w:rsidRPr="00D65876">
              <w:rPr>
                <w:rFonts w:ascii="標楷體" w:eastAsia="標楷體" w:hAnsi="標楷體" w:cs="標楷體" w:hint="eastAsia"/>
                <w:sz w:val="20"/>
                <w:szCs w:val="20"/>
              </w:rPr>
              <w:t>＊統計指標編製方法與資料來源說明：</w:t>
            </w:r>
            <w:r w:rsidR="008B430C" w:rsidRPr="00D65876">
              <w:rPr>
                <w:rFonts w:ascii="標楷體" w:eastAsia="標楷體" w:hAnsi="標楷體" w:hint="eastAsia"/>
                <w:sz w:val="20"/>
                <w:szCs w:val="20"/>
              </w:rPr>
              <w:t>本</w:t>
            </w:r>
            <w:r w:rsidR="00E95855" w:rsidRPr="00D65876">
              <w:rPr>
                <w:rFonts w:ascii="標楷體" w:eastAsia="標楷體" w:hAnsi="標楷體" w:hint="eastAsia"/>
                <w:sz w:val="20"/>
                <w:szCs w:val="20"/>
              </w:rPr>
              <w:t>所第四課</w:t>
            </w:r>
            <w:r w:rsidR="008B430C" w:rsidRPr="00D65876">
              <w:rPr>
                <w:rFonts w:ascii="標楷體" w:eastAsia="標楷體" w:hAnsi="標楷體" w:hint="eastAsia"/>
                <w:sz w:val="20"/>
                <w:szCs w:val="20"/>
              </w:rPr>
              <w:t>依據「地政整合系統WEB版」資料</w:t>
            </w:r>
            <w:r w:rsidR="00E95855" w:rsidRPr="00D65876">
              <w:rPr>
                <w:rFonts w:ascii="標楷體" w:eastAsia="標楷體" w:hAnsi="標楷體" w:hint="eastAsia"/>
                <w:sz w:val="20"/>
                <w:szCs w:val="20"/>
              </w:rPr>
              <w:t>彙</w:t>
            </w:r>
            <w:r w:rsidR="008B430C" w:rsidRPr="00D65876">
              <w:rPr>
                <w:rFonts w:ascii="標楷體" w:eastAsia="標楷體" w:hAnsi="標楷體" w:hint="eastAsia"/>
                <w:sz w:val="20"/>
                <w:szCs w:val="20"/>
              </w:rPr>
              <w:t>整編製。</w:t>
            </w:r>
          </w:p>
          <w:p w:rsidR="00E95855" w:rsidRPr="00D65876" w:rsidRDefault="00D378C8" w:rsidP="00E95855">
            <w:pPr>
              <w:spacing w:line="240" w:lineRule="atLeast"/>
              <w:ind w:leftChars="-1875" w:left="-4500" w:firstLineChars="2409" w:firstLine="4818"/>
              <w:rPr>
                <w:rFonts w:ascii="標楷體" w:eastAsia="標楷體" w:hAnsi="標楷體" w:cs="標楷體"/>
                <w:sz w:val="20"/>
                <w:szCs w:val="20"/>
              </w:rPr>
            </w:pPr>
            <w:r w:rsidRPr="00D65876">
              <w:rPr>
                <w:rFonts w:ascii="標楷體" w:eastAsia="標楷體" w:hAnsi="標楷體" w:cs="標楷體" w:hint="eastAsia"/>
                <w:sz w:val="20"/>
                <w:szCs w:val="20"/>
              </w:rPr>
              <w:t>＊統計資料交叉查核及確保資料合理性之機制：以檢誤條件查核資料，並經業務單位、會計室及各該主</w:t>
            </w:r>
          </w:p>
          <w:p w:rsidR="00D378C8" w:rsidRPr="00D65876" w:rsidRDefault="00D378C8" w:rsidP="00E95855">
            <w:pPr>
              <w:spacing w:line="240" w:lineRule="atLeast"/>
              <w:ind w:leftChars="-1875" w:left="-4500" w:firstLineChars="4517" w:firstLine="9034"/>
              <w:rPr>
                <w:rFonts w:ascii="標楷體" w:eastAsia="標楷體" w:hAnsi="標楷體"/>
              </w:rPr>
            </w:pPr>
            <w:r w:rsidRPr="00D65876">
              <w:rPr>
                <w:rFonts w:ascii="標楷體" w:eastAsia="標楷體" w:hAnsi="標楷體" w:cs="標楷體" w:hint="eastAsia"/>
                <w:sz w:val="20"/>
                <w:szCs w:val="20"/>
              </w:rPr>
              <w:t>管機關審核，以確保資料合理性。</w:t>
            </w:r>
          </w:p>
        </w:tc>
      </w:tr>
      <w:tr w:rsidR="00D65876" w:rsidRPr="00D65876">
        <w:tc>
          <w:tcPr>
            <w:tcW w:w="9711" w:type="dxa"/>
            <w:gridSpan w:val="2"/>
            <w:tcBorders>
              <w:top w:val="nil"/>
              <w:left w:val="nil"/>
              <w:bottom w:val="nil"/>
              <w:right w:val="nil"/>
            </w:tcBorders>
          </w:tcPr>
          <w:p w:rsidR="00D378C8" w:rsidRPr="00D65876" w:rsidRDefault="00D378C8" w:rsidP="00D378C8">
            <w:pPr>
              <w:ind w:leftChars="-1875" w:left="-4500" w:firstLineChars="2196" w:firstLine="4392"/>
              <w:rPr>
                <w:rFonts w:ascii="標楷體" w:eastAsia="標楷體" w:hAnsi="標楷體"/>
                <w:sz w:val="20"/>
                <w:szCs w:val="20"/>
              </w:rPr>
            </w:pPr>
            <w:r w:rsidRPr="00D65876">
              <w:rPr>
                <w:rFonts w:ascii="標楷體" w:eastAsia="標楷體" w:hAnsi="標楷體" w:cs="標楷體" w:hint="eastAsia"/>
                <w:sz w:val="20"/>
                <w:szCs w:val="20"/>
              </w:rPr>
              <w:t>六、須注意及預定改變之事項：表號</w:t>
            </w:r>
            <w:r w:rsidRPr="00D65876">
              <w:rPr>
                <w:rFonts w:ascii="標楷體" w:eastAsia="標楷體" w:hAnsi="標楷體" w:cs="標楷體"/>
                <w:sz w:val="20"/>
                <w:szCs w:val="20"/>
              </w:rPr>
              <w:t>1</w:t>
            </w:r>
            <w:smartTag w:uri="urn:schemas-microsoft-com:office:smarttags" w:element="chsdate">
              <w:smartTagPr>
                <w:attr w:name="IsROCDate" w:val="False"/>
                <w:attr w:name="IsLunarDate" w:val="False"/>
                <w:attr w:name="Day" w:val="2"/>
                <w:attr w:name="Month" w:val="4"/>
                <w:attr w:name="Year" w:val="1242"/>
              </w:smartTagPr>
              <w:r w:rsidRPr="00D65876">
                <w:rPr>
                  <w:rFonts w:ascii="標楷體" w:eastAsia="標楷體" w:hAnsi="標楷體" w:cs="標楷體"/>
                  <w:sz w:val="20"/>
                  <w:szCs w:val="20"/>
                </w:rPr>
                <w:t>1242-04-02</w:t>
              </w:r>
            </w:smartTag>
            <w:r w:rsidRPr="00D65876">
              <w:rPr>
                <w:rFonts w:ascii="標楷體" w:eastAsia="標楷體" w:hAnsi="標楷體" w:cs="標楷體"/>
                <w:sz w:val="20"/>
                <w:szCs w:val="20"/>
              </w:rPr>
              <w:t>-3</w:t>
            </w:r>
            <w:r w:rsidRPr="00D65876">
              <w:rPr>
                <w:rFonts w:ascii="標楷體" w:eastAsia="標楷體" w:hAnsi="標楷體" w:cs="標楷體" w:hint="eastAsia"/>
                <w:sz w:val="20"/>
                <w:szCs w:val="20"/>
              </w:rPr>
              <w:t>。</w:t>
            </w:r>
          </w:p>
        </w:tc>
      </w:tr>
      <w:tr w:rsidR="00D65876" w:rsidRPr="00D65876">
        <w:trPr>
          <w:cantSplit/>
        </w:trPr>
        <w:tc>
          <w:tcPr>
            <w:tcW w:w="9711" w:type="dxa"/>
            <w:gridSpan w:val="2"/>
            <w:tcBorders>
              <w:top w:val="nil"/>
              <w:left w:val="nil"/>
              <w:bottom w:val="nil"/>
              <w:right w:val="nil"/>
            </w:tcBorders>
          </w:tcPr>
          <w:p w:rsidR="00D378C8" w:rsidRPr="00D65876" w:rsidRDefault="00D378C8" w:rsidP="00D378C8">
            <w:pPr>
              <w:ind w:leftChars="-1875" w:left="-4500" w:firstLineChars="2440" w:firstLine="4392"/>
              <w:rPr>
                <w:rFonts w:ascii="標楷體" w:eastAsia="標楷體" w:hAnsi="標楷體"/>
                <w:sz w:val="18"/>
                <w:szCs w:val="18"/>
              </w:rPr>
            </w:pPr>
            <w:r w:rsidRPr="00D65876">
              <w:rPr>
                <w:rFonts w:ascii="標楷體" w:eastAsia="標楷體" w:hAnsi="標楷體" w:cs="標楷體" w:hint="eastAsia"/>
                <w:sz w:val="18"/>
                <w:szCs w:val="18"/>
              </w:rPr>
              <w:t>七</w:t>
            </w:r>
            <w:r w:rsidRPr="00D65876">
              <w:rPr>
                <w:rFonts w:ascii="標楷體" w:eastAsia="標楷體" w:hAnsi="標楷體" w:cs="標楷體" w:hint="eastAsia"/>
                <w:sz w:val="20"/>
                <w:szCs w:val="20"/>
              </w:rPr>
              <w:t>、</w:t>
            </w:r>
            <w:r w:rsidRPr="00D65876">
              <w:rPr>
                <w:rFonts w:ascii="標楷體" w:eastAsia="標楷體" w:hAnsi="標楷體" w:cs="標楷體" w:hint="eastAsia"/>
                <w:sz w:val="18"/>
                <w:szCs w:val="18"/>
              </w:rPr>
              <w:t>其他事項：無</w:t>
            </w:r>
          </w:p>
        </w:tc>
      </w:tr>
      <w:tr w:rsidR="00D65876" w:rsidRPr="00D65876">
        <w:tc>
          <w:tcPr>
            <w:tcW w:w="9711" w:type="dxa"/>
            <w:gridSpan w:val="2"/>
            <w:tcBorders>
              <w:top w:val="nil"/>
              <w:left w:val="nil"/>
              <w:bottom w:val="nil"/>
              <w:right w:val="nil"/>
            </w:tcBorders>
          </w:tcPr>
          <w:p w:rsidR="00D378C8" w:rsidRPr="00D65876" w:rsidRDefault="00D378C8">
            <w:pPr>
              <w:rPr>
                <w:rFonts w:ascii="標楷體" w:eastAsia="標楷體" w:hAnsi="標楷體"/>
                <w:sz w:val="20"/>
                <w:szCs w:val="20"/>
              </w:rPr>
            </w:pPr>
          </w:p>
        </w:tc>
      </w:tr>
      <w:bookmarkEnd w:id="0"/>
    </w:tbl>
    <w:p w:rsidR="00D378C8" w:rsidRPr="00D65876" w:rsidRDefault="00D378C8"/>
    <w:sectPr w:rsidR="00D378C8" w:rsidRPr="00D65876" w:rsidSect="00E66C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C2" w:rsidRDefault="004327C2">
      <w:r>
        <w:separator/>
      </w:r>
    </w:p>
  </w:endnote>
  <w:endnote w:type="continuationSeparator" w:id="0">
    <w:p w:rsidR="004327C2" w:rsidRDefault="004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C2" w:rsidRDefault="004327C2">
      <w:r>
        <w:separator/>
      </w:r>
    </w:p>
  </w:footnote>
  <w:footnote w:type="continuationSeparator" w:id="0">
    <w:p w:rsidR="004327C2" w:rsidRDefault="0043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341D"/>
    <w:multiLevelType w:val="hybridMultilevel"/>
    <w:tmpl w:val="209A044A"/>
    <w:lvl w:ilvl="0" w:tplc="C396D0FE">
      <w:start w:val="1"/>
      <w:numFmt w:val="taiwaneseCountingThousand"/>
      <w:lvlText w:val="(%1)"/>
      <w:lvlJc w:val="left"/>
      <w:pPr>
        <w:ind w:left="297" w:hanging="405"/>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B0"/>
    <w:rsid w:val="000402F3"/>
    <w:rsid w:val="000C735C"/>
    <w:rsid w:val="000E6C51"/>
    <w:rsid w:val="000F3EA2"/>
    <w:rsid w:val="00100F6D"/>
    <w:rsid w:val="001A6293"/>
    <w:rsid w:val="001F4FAC"/>
    <w:rsid w:val="001F72A5"/>
    <w:rsid w:val="00216604"/>
    <w:rsid w:val="00217E2B"/>
    <w:rsid w:val="00230F29"/>
    <w:rsid w:val="002379E8"/>
    <w:rsid w:val="00252117"/>
    <w:rsid w:val="00292263"/>
    <w:rsid w:val="003024D5"/>
    <w:rsid w:val="00380AB3"/>
    <w:rsid w:val="003D5C99"/>
    <w:rsid w:val="0040464A"/>
    <w:rsid w:val="004217A3"/>
    <w:rsid w:val="00421B42"/>
    <w:rsid w:val="004327C2"/>
    <w:rsid w:val="0043650D"/>
    <w:rsid w:val="00463C54"/>
    <w:rsid w:val="00496DBD"/>
    <w:rsid w:val="004E75CB"/>
    <w:rsid w:val="00515A23"/>
    <w:rsid w:val="00540628"/>
    <w:rsid w:val="00553E0F"/>
    <w:rsid w:val="005770CA"/>
    <w:rsid w:val="00593BE0"/>
    <w:rsid w:val="00705D22"/>
    <w:rsid w:val="00721DA6"/>
    <w:rsid w:val="0073366D"/>
    <w:rsid w:val="00742F25"/>
    <w:rsid w:val="00772E69"/>
    <w:rsid w:val="00814253"/>
    <w:rsid w:val="008439C6"/>
    <w:rsid w:val="008B430C"/>
    <w:rsid w:val="008E3247"/>
    <w:rsid w:val="009E73CD"/>
    <w:rsid w:val="00A31254"/>
    <w:rsid w:val="00A517D1"/>
    <w:rsid w:val="00A77D04"/>
    <w:rsid w:val="00A9496E"/>
    <w:rsid w:val="00AB27CA"/>
    <w:rsid w:val="00AD1CF2"/>
    <w:rsid w:val="00AE70E4"/>
    <w:rsid w:val="00BA5229"/>
    <w:rsid w:val="00BD4FD2"/>
    <w:rsid w:val="00BF43BF"/>
    <w:rsid w:val="00C207BB"/>
    <w:rsid w:val="00C27224"/>
    <w:rsid w:val="00C342D0"/>
    <w:rsid w:val="00C44916"/>
    <w:rsid w:val="00C81DAE"/>
    <w:rsid w:val="00CA464C"/>
    <w:rsid w:val="00CF1321"/>
    <w:rsid w:val="00D17848"/>
    <w:rsid w:val="00D378C8"/>
    <w:rsid w:val="00D43F41"/>
    <w:rsid w:val="00D519D3"/>
    <w:rsid w:val="00D65876"/>
    <w:rsid w:val="00D93B26"/>
    <w:rsid w:val="00DC4886"/>
    <w:rsid w:val="00E05316"/>
    <w:rsid w:val="00E26CC2"/>
    <w:rsid w:val="00E30D35"/>
    <w:rsid w:val="00E66CB0"/>
    <w:rsid w:val="00E93E80"/>
    <w:rsid w:val="00E95855"/>
    <w:rsid w:val="00E97413"/>
    <w:rsid w:val="00EB3095"/>
    <w:rsid w:val="00EE779A"/>
    <w:rsid w:val="00F87474"/>
    <w:rsid w:val="00FC1532"/>
    <w:rsid w:val="00FC4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BD9EB04-942C-4AC0-B18A-613393A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2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1254"/>
    <w:pPr>
      <w:tabs>
        <w:tab w:val="center" w:pos="4153"/>
        <w:tab w:val="right" w:pos="8306"/>
      </w:tabs>
      <w:snapToGrid w:val="0"/>
    </w:pPr>
    <w:rPr>
      <w:sz w:val="20"/>
      <w:szCs w:val="20"/>
    </w:rPr>
  </w:style>
  <w:style w:type="character" w:customStyle="1" w:styleId="a4">
    <w:name w:val="頁首 字元"/>
    <w:basedOn w:val="a0"/>
    <w:link w:val="a3"/>
    <w:uiPriority w:val="99"/>
    <w:locked/>
    <w:rsid w:val="00A31254"/>
    <w:rPr>
      <w:rFonts w:ascii="Times New Roman" w:hAnsi="Times New Roman" w:cs="Times New Roman"/>
      <w:kern w:val="2"/>
    </w:rPr>
  </w:style>
  <w:style w:type="paragraph" w:styleId="a5">
    <w:name w:val="footer"/>
    <w:basedOn w:val="a"/>
    <w:link w:val="a6"/>
    <w:uiPriority w:val="99"/>
    <w:rsid w:val="00A31254"/>
    <w:pPr>
      <w:tabs>
        <w:tab w:val="center" w:pos="4153"/>
        <w:tab w:val="right" w:pos="8306"/>
      </w:tabs>
      <w:snapToGrid w:val="0"/>
    </w:pPr>
    <w:rPr>
      <w:sz w:val="20"/>
      <w:szCs w:val="20"/>
    </w:rPr>
  </w:style>
  <w:style w:type="character" w:customStyle="1" w:styleId="a6">
    <w:name w:val="頁尾 字元"/>
    <w:basedOn w:val="a0"/>
    <w:link w:val="a5"/>
    <w:uiPriority w:val="99"/>
    <w:locked/>
    <w:rsid w:val="00A31254"/>
    <w:rPr>
      <w:rFonts w:ascii="Times New Roman" w:hAnsi="Times New Roman" w:cs="Times New Roman"/>
      <w:kern w:val="2"/>
    </w:rPr>
  </w:style>
  <w:style w:type="character" w:styleId="a7">
    <w:name w:val="Hyperlink"/>
    <w:basedOn w:val="a0"/>
    <w:uiPriority w:val="99"/>
    <w:rsid w:val="00D17848"/>
    <w:rPr>
      <w:rFonts w:cs="Times New Roman"/>
      <w:color w:val="0000FF"/>
      <w:u w:val="single"/>
    </w:rPr>
  </w:style>
  <w:style w:type="paragraph" w:styleId="a8">
    <w:name w:val="List Paragraph"/>
    <w:basedOn w:val="a"/>
    <w:uiPriority w:val="34"/>
    <w:qFormat/>
    <w:rsid w:val="00E9585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8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1024</Characters>
  <Application>Microsoft Office Word</Application>
  <DocSecurity>0</DocSecurity>
  <Lines>8</Lines>
  <Paragraphs>2</Paragraphs>
  <ScaleCrop>false</ScaleCrop>
  <Company>行政院主計處中部辦公室案</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余孟賢</cp:lastModifiedBy>
  <cp:revision>11</cp:revision>
  <dcterms:created xsi:type="dcterms:W3CDTF">2020-04-23T01:03:00Z</dcterms:created>
  <dcterms:modified xsi:type="dcterms:W3CDTF">2022-11-14T06:39:00Z</dcterms:modified>
</cp:coreProperties>
</file>