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426"/>
        <w:gridCol w:w="8787"/>
        <w:gridCol w:w="426"/>
      </w:tblGrid>
      <w:tr w:rsidR="005F0F30" w:rsidRPr="00537786" w:rsidTr="00BD09A2">
        <w:tc>
          <w:tcPr>
            <w:tcW w:w="9639" w:type="dxa"/>
            <w:gridSpan w:val="3"/>
            <w:shd w:val="clear" w:color="auto" w:fill="auto"/>
          </w:tcPr>
          <w:p w:rsidR="00D73CDF" w:rsidRPr="00537786" w:rsidRDefault="00D73CDF" w:rsidP="00BD09A2">
            <w:pPr>
              <w:jc w:val="center"/>
              <w:rPr>
                <w:rFonts w:ascii="標楷體" w:eastAsia="標楷體" w:hAnsi="標楷體"/>
                <w:sz w:val="26"/>
                <w:szCs w:val="26"/>
              </w:rPr>
            </w:pPr>
            <w:r w:rsidRPr="00537786">
              <w:rPr>
                <w:rFonts w:ascii="標楷體" w:eastAsia="標楷體" w:hAnsi="標楷體" w:hint="eastAsia"/>
                <w:sz w:val="26"/>
                <w:szCs w:val="26"/>
              </w:rPr>
              <w:t>統計資料背景說明</w:t>
            </w:r>
          </w:p>
          <w:p w:rsidR="002D5596" w:rsidRPr="00537786" w:rsidRDefault="002D5596" w:rsidP="002D5596">
            <w:pPr>
              <w:rPr>
                <w:rFonts w:ascii="標楷體" w:eastAsia="標楷體" w:hAnsi="標楷體"/>
              </w:rPr>
            </w:pPr>
            <w:r w:rsidRPr="00537786">
              <w:rPr>
                <w:rFonts w:ascii="標楷體" w:eastAsia="標楷體" w:hAnsi="標楷體" w:hint="eastAsia"/>
              </w:rPr>
              <w:t>資料種類:</w:t>
            </w:r>
            <w:r w:rsidR="00044485" w:rsidRPr="00537786">
              <w:rPr>
                <w:rFonts w:ascii="標楷體" w:eastAsia="標楷體" w:hAnsi="標楷體" w:hint="eastAsia"/>
              </w:rPr>
              <w:t>土地</w:t>
            </w:r>
            <w:r w:rsidRPr="00537786">
              <w:rPr>
                <w:rFonts w:ascii="標楷體" w:eastAsia="標楷體" w:hAnsi="標楷體" w:hint="eastAsia"/>
              </w:rPr>
              <w:t>統計</w:t>
            </w:r>
          </w:p>
          <w:p w:rsidR="002D5596" w:rsidRPr="00537786" w:rsidRDefault="002D5596" w:rsidP="00B4155E">
            <w:pPr>
              <w:rPr>
                <w:rFonts w:ascii="標楷體" w:eastAsia="標楷體" w:hAnsi="標楷體"/>
              </w:rPr>
            </w:pPr>
            <w:r w:rsidRPr="00537786">
              <w:rPr>
                <w:rFonts w:ascii="標楷體" w:eastAsia="標楷體" w:hAnsi="標楷體" w:hint="eastAsia"/>
              </w:rPr>
              <w:t>資料項目:</w:t>
            </w:r>
            <w:proofErr w:type="gramStart"/>
            <w:r w:rsidR="00F40D1C" w:rsidRPr="00537786">
              <w:rPr>
                <w:rFonts w:ascii="標楷體" w:eastAsia="標楷體" w:hAnsi="標楷體" w:hint="eastAsia"/>
              </w:rPr>
              <w:t>臺</w:t>
            </w:r>
            <w:proofErr w:type="gramEnd"/>
            <w:r w:rsidR="00F40D1C" w:rsidRPr="00537786">
              <w:rPr>
                <w:rFonts w:ascii="標楷體" w:eastAsia="標楷體" w:hAnsi="標楷體" w:hint="eastAsia"/>
              </w:rPr>
              <w:t>中市正辦理中區段徵收地區統計</w:t>
            </w:r>
          </w:p>
        </w:tc>
      </w:tr>
      <w:tr w:rsidR="005F0F30" w:rsidRPr="00537786" w:rsidTr="008A43C0">
        <w:tc>
          <w:tcPr>
            <w:tcW w:w="9639" w:type="dxa"/>
            <w:gridSpan w:val="3"/>
            <w:shd w:val="clear" w:color="auto" w:fill="auto"/>
          </w:tcPr>
          <w:p w:rsidR="006A3926" w:rsidRPr="00537786" w:rsidRDefault="006A3926" w:rsidP="003917E3">
            <w:pPr>
              <w:ind w:leftChars="-45" w:left="22" w:hangingChars="54" w:hanging="130"/>
              <w:rPr>
                <w:rFonts w:ascii="標楷體" w:eastAsia="標楷體" w:hAnsi="標楷體"/>
              </w:rPr>
            </w:pPr>
            <w:r w:rsidRPr="00537786">
              <w:rPr>
                <w:rFonts w:ascii="標楷體" w:eastAsia="標楷體" w:hAnsi="標楷體" w:hint="eastAsia"/>
              </w:rPr>
              <w:t>一、發布及編製機關單位</w:t>
            </w:r>
          </w:p>
        </w:tc>
      </w:tr>
      <w:tr w:rsidR="005F0F30" w:rsidRPr="00537786" w:rsidTr="008A43C0">
        <w:trPr>
          <w:gridAfter w:val="1"/>
          <w:wAfter w:w="426" w:type="dxa"/>
        </w:trPr>
        <w:tc>
          <w:tcPr>
            <w:tcW w:w="9213" w:type="dxa"/>
            <w:gridSpan w:val="2"/>
            <w:shd w:val="clear" w:color="auto" w:fill="auto"/>
          </w:tcPr>
          <w:p w:rsidR="006A3926" w:rsidRPr="00537786" w:rsidRDefault="006A3926" w:rsidP="00F87AE4">
            <w:pPr>
              <w:spacing w:line="0" w:lineRule="atLeast"/>
              <w:ind w:firstLineChars="159" w:firstLine="382"/>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發布機關、單位：</w:t>
            </w:r>
            <w:proofErr w:type="gramStart"/>
            <w:r w:rsidRPr="00537786">
              <w:rPr>
                <w:rFonts w:ascii="標楷體" w:eastAsia="標楷體" w:hAnsi="標楷體" w:hint="eastAsia"/>
              </w:rPr>
              <w:t>臺</w:t>
            </w:r>
            <w:proofErr w:type="gramEnd"/>
            <w:r w:rsidRPr="00537786">
              <w:rPr>
                <w:rFonts w:ascii="標楷體" w:eastAsia="標楷體" w:hAnsi="標楷體" w:hint="eastAsia"/>
              </w:rPr>
              <w:t>中市政府地政局</w:t>
            </w:r>
            <w:r w:rsidR="007A7579" w:rsidRPr="00537786">
              <w:rPr>
                <w:rFonts w:ascii="標楷體" w:eastAsia="標楷體" w:hAnsi="標楷體" w:hint="eastAsia"/>
              </w:rPr>
              <w:t>會計室</w:t>
            </w:r>
          </w:p>
          <w:p w:rsidR="006A3926" w:rsidRPr="00537786" w:rsidRDefault="006A3926" w:rsidP="00F87AE4">
            <w:pPr>
              <w:spacing w:line="0" w:lineRule="atLeast"/>
              <w:ind w:firstLineChars="159" w:firstLine="382"/>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編製單位：</w:t>
            </w:r>
            <w:proofErr w:type="gramStart"/>
            <w:r w:rsidRPr="00537786">
              <w:rPr>
                <w:rFonts w:ascii="標楷體" w:eastAsia="標楷體" w:hAnsi="標楷體" w:hint="eastAsia"/>
              </w:rPr>
              <w:t>臺</w:t>
            </w:r>
            <w:proofErr w:type="gramEnd"/>
            <w:r w:rsidRPr="00537786">
              <w:rPr>
                <w:rFonts w:ascii="標楷體" w:eastAsia="標楷體" w:hAnsi="標楷體" w:hint="eastAsia"/>
              </w:rPr>
              <w:t>中市政府地政局</w:t>
            </w:r>
            <w:r w:rsidR="00ED1C8C" w:rsidRPr="00537786">
              <w:rPr>
                <w:rFonts w:ascii="標楷體" w:eastAsia="標楷體" w:hAnsi="標楷體" w:hint="eastAsia"/>
              </w:rPr>
              <w:t>區段徵收科</w:t>
            </w:r>
          </w:p>
          <w:p w:rsidR="006A3926" w:rsidRPr="00537786" w:rsidRDefault="006A3926" w:rsidP="00F87AE4">
            <w:pPr>
              <w:spacing w:line="0" w:lineRule="atLeast"/>
              <w:ind w:firstLineChars="159" w:firstLine="382"/>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聯絡電話：22218558</w:t>
            </w:r>
            <w:r w:rsidR="0026050D" w:rsidRPr="00537786">
              <w:rPr>
                <w:rFonts w:ascii="標楷體" w:eastAsia="標楷體" w:hAnsi="標楷體" w:hint="eastAsia"/>
              </w:rPr>
              <w:t xml:space="preserve"> #63646王德峰</w:t>
            </w:r>
          </w:p>
          <w:p w:rsidR="006A3926" w:rsidRPr="00537786" w:rsidRDefault="006A3926" w:rsidP="00F87AE4">
            <w:pPr>
              <w:spacing w:line="0" w:lineRule="atLeast"/>
              <w:ind w:firstLineChars="159" w:firstLine="382"/>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傳真：</w:t>
            </w:r>
            <w:r w:rsidR="0026050D" w:rsidRPr="00537786">
              <w:rPr>
                <w:rFonts w:ascii="標楷體" w:eastAsia="標楷體" w:hAnsi="標楷體" w:hint="eastAsia"/>
              </w:rPr>
              <w:t>22170575</w:t>
            </w:r>
          </w:p>
          <w:p w:rsidR="006A3926" w:rsidRPr="00537786" w:rsidRDefault="006A3926" w:rsidP="00F87AE4">
            <w:pPr>
              <w:spacing w:line="0" w:lineRule="atLeast"/>
              <w:ind w:firstLineChars="159" w:firstLine="382"/>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電子信箱：</w:t>
            </w:r>
            <w:r w:rsidR="0026050D" w:rsidRPr="00537786">
              <w:rPr>
                <w:rFonts w:ascii="標楷體" w:eastAsia="標楷體" w:hAnsi="標楷體" w:hint="eastAsia"/>
              </w:rPr>
              <w:t>m65136</w:t>
            </w:r>
            <w:r w:rsidR="007A7579" w:rsidRPr="00537786">
              <w:rPr>
                <w:rFonts w:ascii="標楷體" w:eastAsia="標楷體" w:hAnsi="標楷體"/>
              </w:rPr>
              <w:t>@taichung.gov.tw</w:t>
            </w:r>
          </w:p>
        </w:tc>
      </w:tr>
      <w:tr w:rsidR="005F0F30" w:rsidRPr="00537786" w:rsidTr="00BD09A2">
        <w:tc>
          <w:tcPr>
            <w:tcW w:w="9639" w:type="dxa"/>
            <w:gridSpan w:val="3"/>
            <w:shd w:val="clear" w:color="auto" w:fill="auto"/>
          </w:tcPr>
          <w:p w:rsidR="00210B9B" w:rsidRPr="00537786" w:rsidRDefault="00210B9B" w:rsidP="00F87AE4">
            <w:pPr>
              <w:ind w:leftChars="-281" w:left="-674" w:firstLineChars="283" w:firstLine="679"/>
              <w:rPr>
                <w:rFonts w:ascii="標楷體" w:eastAsia="標楷體" w:hAnsi="標楷體"/>
              </w:rPr>
            </w:pPr>
            <w:r w:rsidRPr="00537786">
              <w:rPr>
                <w:rFonts w:ascii="標楷體" w:eastAsia="標楷體" w:hAnsi="標楷體" w:hint="eastAsia"/>
              </w:rPr>
              <w:t>二、發布形式</w:t>
            </w:r>
          </w:p>
        </w:tc>
      </w:tr>
      <w:tr w:rsidR="005F0F30" w:rsidRPr="00537786" w:rsidTr="00BD09A2">
        <w:tc>
          <w:tcPr>
            <w:tcW w:w="426" w:type="dxa"/>
            <w:shd w:val="clear" w:color="auto" w:fill="auto"/>
          </w:tcPr>
          <w:p w:rsidR="00210B9B" w:rsidRPr="00537786" w:rsidRDefault="00210B9B" w:rsidP="00F87AE4">
            <w:pPr>
              <w:ind w:leftChars="-280" w:left="-672" w:firstLineChars="282" w:firstLine="677"/>
              <w:rPr>
                <w:rFonts w:ascii="標楷體" w:eastAsia="標楷體" w:hAnsi="標楷體"/>
              </w:rPr>
            </w:pPr>
          </w:p>
        </w:tc>
        <w:tc>
          <w:tcPr>
            <w:tcW w:w="9213" w:type="dxa"/>
            <w:gridSpan w:val="2"/>
            <w:shd w:val="clear" w:color="auto" w:fill="auto"/>
          </w:tcPr>
          <w:p w:rsidR="00210B9B" w:rsidRPr="00537786" w:rsidRDefault="00210B9B" w:rsidP="00F87AE4">
            <w:pPr>
              <w:spacing w:line="0" w:lineRule="atLeast"/>
              <w:ind w:leftChars="-280" w:left="-672" w:firstLineChars="282" w:firstLine="677"/>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口頭：（ ）記者會或說明會</w:t>
            </w:r>
          </w:p>
          <w:p w:rsidR="00210B9B" w:rsidRPr="00537786" w:rsidRDefault="00210B9B" w:rsidP="00F87AE4">
            <w:pPr>
              <w:spacing w:line="0" w:lineRule="atLeast"/>
              <w:ind w:leftChars="-280" w:left="-672" w:firstLineChars="282" w:firstLine="677"/>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書面：（ ）新聞稿   （V）報表  （ ）書刊，刊名</w:t>
            </w:r>
          </w:p>
          <w:p w:rsidR="00210B9B" w:rsidRPr="00537786" w:rsidRDefault="00210B9B" w:rsidP="00F87AE4">
            <w:pPr>
              <w:spacing w:line="0" w:lineRule="atLeast"/>
              <w:ind w:leftChars="-280" w:left="-672" w:firstLineChars="282" w:firstLine="677"/>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電子媒體：</w:t>
            </w:r>
          </w:p>
          <w:p w:rsidR="0026050D" w:rsidRPr="00537786" w:rsidRDefault="007A7579" w:rsidP="007A7579">
            <w:pPr>
              <w:spacing w:line="0" w:lineRule="atLeast"/>
              <w:ind w:leftChars="-45" w:left="1421" w:hangingChars="637" w:hanging="1529"/>
              <w:rPr>
                <w:rFonts w:ascii="標楷體" w:eastAsia="標楷體" w:hAnsi="標楷體"/>
              </w:rPr>
            </w:pPr>
            <w:r w:rsidRPr="00537786">
              <w:rPr>
                <w:rFonts w:ascii="標楷體" w:eastAsia="標楷體" w:hAnsi="標楷體" w:hint="eastAsia"/>
              </w:rPr>
              <w:t>（V）</w:t>
            </w:r>
            <w:proofErr w:type="gramStart"/>
            <w:r w:rsidRPr="00537786">
              <w:rPr>
                <w:rFonts w:ascii="標楷體" w:eastAsia="標楷體" w:hAnsi="標楷體" w:hint="eastAsia"/>
              </w:rPr>
              <w:t>線上書刊</w:t>
            </w:r>
            <w:proofErr w:type="gramEnd"/>
            <w:r w:rsidRPr="00537786">
              <w:rPr>
                <w:rFonts w:ascii="標楷體" w:eastAsia="標楷體" w:hAnsi="標楷體" w:hint="eastAsia"/>
              </w:rPr>
              <w:t>及資料庫，網址：</w:t>
            </w:r>
          </w:p>
          <w:p w:rsidR="007A7579" w:rsidRPr="00537786" w:rsidRDefault="0026050D" w:rsidP="0026050D">
            <w:pPr>
              <w:spacing w:line="0" w:lineRule="atLeast"/>
              <w:ind w:leftChars="5" w:left="1421" w:hangingChars="587" w:hanging="1409"/>
              <w:rPr>
                <w:rFonts w:ascii="標楷體" w:eastAsia="標楷體" w:hAnsi="標楷體"/>
              </w:rPr>
            </w:pPr>
            <w:r w:rsidRPr="00537786">
              <w:rPr>
                <w:rFonts w:ascii="標楷體" w:eastAsia="標楷體" w:hAnsi="標楷體"/>
              </w:rPr>
              <w:t>http://govstat.taichung.gov.tw/TCSTAT/Page/kcg01_2.aspx?Mid1=387160000A</w:t>
            </w:r>
          </w:p>
          <w:p w:rsidR="00210B9B" w:rsidRPr="00537786" w:rsidRDefault="00210B9B" w:rsidP="00F87AE4">
            <w:pPr>
              <w:spacing w:line="0" w:lineRule="atLeast"/>
              <w:ind w:leftChars="-280" w:left="-672" w:firstLineChars="282" w:firstLine="677"/>
              <w:rPr>
                <w:rFonts w:ascii="標楷體" w:eastAsia="標楷體" w:hAnsi="標楷體"/>
              </w:rPr>
            </w:pPr>
            <w:r w:rsidRPr="00537786">
              <w:rPr>
                <w:rFonts w:ascii="標楷體" w:eastAsia="標楷體" w:hAnsi="標楷體" w:hint="eastAsia"/>
              </w:rPr>
              <w:t>（ ）磁片   （ ）光碟片  （ ）其他</w:t>
            </w:r>
          </w:p>
        </w:tc>
      </w:tr>
      <w:tr w:rsidR="005F0F30" w:rsidRPr="00537786" w:rsidTr="00BD09A2">
        <w:tc>
          <w:tcPr>
            <w:tcW w:w="9639" w:type="dxa"/>
            <w:gridSpan w:val="3"/>
            <w:shd w:val="clear" w:color="auto" w:fill="auto"/>
          </w:tcPr>
          <w:p w:rsidR="00210B9B" w:rsidRPr="00537786" w:rsidRDefault="00210B9B" w:rsidP="00F87AE4">
            <w:pPr>
              <w:ind w:leftChars="-45" w:left="62" w:hangingChars="71" w:hanging="170"/>
              <w:rPr>
                <w:rFonts w:ascii="標楷體" w:eastAsia="標楷體" w:hAnsi="標楷體"/>
              </w:rPr>
            </w:pPr>
            <w:r w:rsidRPr="00537786">
              <w:rPr>
                <w:rFonts w:ascii="標楷體" w:eastAsia="標楷體" w:hAnsi="標楷體" w:hint="eastAsia"/>
              </w:rPr>
              <w:t>三、資料範圍、週期及時效</w:t>
            </w:r>
          </w:p>
        </w:tc>
      </w:tr>
      <w:tr w:rsidR="005F0F30" w:rsidRPr="00537786" w:rsidTr="00BD09A2">
        <w:tc>
          <w:tcPr>
            <w:tcW w:w="426" w:type="dxa"/>
            <w:shd w:val="clear" w:color="auto" w:fill="auto"/>
          </w:tcPr>
          <w:p w:rsidR="00210B9B" w:rsidRPr="00537786" w:rsidRDefault="00210B9B" w:rsidP="00F87AE4">
            <w:pPr>
              <w:ind w:leftChars="-280" w:left="-672" w:firstLineChars="282" w:firstLine="677"/>
              <w:rPr>
                <w:rFonts w:ascii="標楷體" w:eastAsia="標楷體" w:hAnsi="標楷體"/>
              </w:rPr>
            </w:pPr>
          </w:p>
        </w:tc>
        <w:tc>
          <w:tcPr>
            <w:tcW w:w="9213" w:type="dxa"/>
            <w:gridSpan w:val="2"/>
            <w:shd w:val="clear" w:color="auto" w:fill="auto"/>
          </w:tcPr>
          <w:p w:rsidR="00537786" w:rsidRDefault="00F87AE4" w:rsidP="00537786">
            <w:pPr>
              <w:spacing w:line="0" w:lineRule="atLeast"/>
              <w:ind w:leftChars="-104" w:left="-250" w:firstLineChars="104" w:firstLine="250"/>
              <w:rPr>
                <w:rFonts w:ascii="標楷體" w:eastAsia="標楷體" w:hAnsi="標楷體"/>
              </w:rPr>
            </w:pPr>
            <w:proofErr w:type="gramStart"/>
            <w:r w:rsidRPr="00537786">
              <w:rPr>
                <w:rFonts w:ascii="標楷體" w:eastAsia="標楷體" w:hAnsi="標楷體" w:hint="eastAsia"/>
              </w:rPr>
              <w:t>＊</w:t>
            </w:r>
            <w:proofErr w:type="gramEnd"/>
            <w:r w:rsidR="00210B9B" w:rsidRPr="00537786">
              <w:rPr>
                <w:rFonts w:ascii="標楷體" w:eastAsia="標楷體" w:hAnsi="標楷體" w:hint="eastAsia"/>
              </w:rPr>
              <w:t>統計地區範圍及對象：</w:t>
            </w:r>
            <w:r w:rsidR="00C40A6B" w:rsidRPr="00537786">
              <w:rPr>
                <w:rFonts w:ascii="標楷體" w:eastAsia="標楷體" w:hAnsi="標楷體" w:hint="eastAsia"/>
              </w:rPr>
              <w:t>凡依據</w:t>
            </w:r>
            <w:r w:rsidR="00C20E6D" w:rsidRPr="00537786">
              <w:rPr>
                <w:rFonts w:ascii="標楷體" w:eastAsia="標楷體" w:hAnsi="標楷體" w:hint="eastAsia"/>
              </w:rPr>
              <w:t>土地</w:t>
            </w:r>
            <w:r w:rsidR="00C40A6B" w:rsidRPr="00537786">
              <w:rPr>
                <w:rFonts w:ascii="標楷體" w:eastAsia="標楷體" w:hAnsi="標楷體" w:hint="eastAsia"/>
              </w:rPr>
              <w:t>徵收</w:t>
            </w:r>
            <w:r w:rsidR="00C20E6D" w:rsidRPr="00537786">
              <w:rPr>
                <w:rFonts w:ascii="標楷體" w:eastAsia="標楷體" w:hAnsi="標楷體" w:hint="eastAsia"/>
              </w:rPr>
              <w:t>條例第38條規定報</w:t>
            </w:r>
            <w:r w:rsidR="00C40A6B" w:rsidRPr="00537786">
              <w:rPr>
                <w:rFonts w:ascii="標楷體" w:eastAsia="標楷體" w:hAnsi="標楷體" w:hint="eastAsia"/>
              </w:rPr>
              <w:t>經行政院或內政部核准後</w:t>
            </w:r>
          </w:p>
          <w:p w:rsidR="00210B9B" w:rsidRPr="00537786" w:rsidRDefault="00C40A6B" w:rsidP="00537786">
            <w:pPr>
              <w:spacing w:line="0" w:lineRule="atLeast"/>
              <w:ind w:leftChars="-104" w:left="-250" w:firstLineChars="104" w:firstLine="250"/>
              <w:rPr>
                <w:rFonts w:ascii="標楷體" w:eastAsia="標楷體" w:hAnsi="標楷體"/>
              </w:rPr>
            </w:pPr>
            <w:r w:rsidRPr="00537786">
              <w:rPr>
                <w:rFonts w:ascii="標楷體" w:eastAsia="標楷體" w:hAnsi="標楷體" w:hint="eastAsia"/>
              </w:rPr>
              <w:t>施行區段徵收之案</w:t>
            </w:r>
            <w:r w:rsidR="00C20E6D" w:rsidRPr="00537786">
              <w:rPr>
                <w:rFonts w:ascii="標楷體" w:eastAsia="標楷體" w:hAnsi="標楷體" w:hint="eastAsia"/>
              </w:rPr>
              <w:t>件</w:t>
            </w:r>
            <w:r w:rsidRPr="00537786">
              <w:rPr>
                <w:rFonts w:ascii="標楷體" w:eastAsia="標楷體" w:hAnsi="標楷體" w:hint="eastAsia"/>
              </w:rPr>
              <w:t>，</w:t>
            </w:r>
            <w:proofErr w:type="gramStart"/>
            <w:r w:rsidRPr="00537786">
              <w:rPr>
                <w:rFonts w:ascii="標楷體" w:eastAsia="標楷體" w:hAnsi="標楷體" w:hint="eastAsia"/>
              </w:rPr>
              <w:t>均為統計</w:t>
            </w:r>
            <w:proofErr w:type="gramEnd"/>
            <w:r w:rsidRPr="00537786">
              <w:rPr>
                <w:rFonts w:ascii="標楷體" w:eastAsia="標楷體" w:hAnsi="標楷體" w:hint="eastAsia"/>
              </w:rPr>
              <w:t>對象。</w:t>
            </w:r>
          </w:p>
          <w:p w:rsidR="00210B9B" w:rsidRPr="00537786" w:rsidRDefault="00210B9B" w:rsidP="00537786">
            <w:pPr>
              <w:spacing w:line="0" w:lineRule="atLeast"/>
              <w:ind w:leftChars="-104" w:left="-250" w:firstLineChars="104" w:firstLine="250"/>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統計標準時間：</w:t>
            </w:r>
            <w:r w:rsidR="000D77B9" w:rsidRPr="00537786">
              <w:rPr>
                <w:rFonts w:ascii="標楷體" w:eastAsia="標楷體" w:hAnsi="標楷體" w:hint="eastAsia"/>
              </w:rPr>
              <w:t>以公告徵收確定後至當年12月底之事實為</w:t>
            </w:r>
            <w:proofErr w:type="gramStart"/>
            <w:r w:rsidR="000D77B9" w:rsidRPr="00537786">
              <w:rPr>
                <w:rFonts w:ascii="標楷體" w:eastAsia="標楷體" w:hAnsi="標楷體" w:hint="eastAsia"/>
              </w:rPr>
              <w:t>準</w:t>
            </w:r>
            <w:proofErr w:type="gramEnd"/>
            <w:r w:rsidR="00C40A6B" w:rsidRPr="00537786">
              <w:rPr>
                <w:rFonts w:ascii="標楷體" w:eastAsia="標楷體" w:hAnsi="標楷體" w:hint="eastAsia"/>
              </w:rPr>
              <w:t>。</w:t>
            </w:r>
          </w:p>
          <w:p w:rsidR="00210B9B" w:rsidRPr="00537786" w:rsidRDefault="00210B9B" w:rsidP="00537786">
            <w:pPr>
              <w:spacing w:line="0" w:lineRule="atLeast"/>
              <w:ind w:leftChars="-104" w:left="-250" w:firstLineChars="104" w:firstLine="250"/>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統計項目定義：</w:t>
            </w:r>
          </w:p>
        </w:tc>
      </w:tr>
      <w:tr w:rsidR="005F0F30" w:rsidRPr="00537786" w:rsidTr="00BD09A2">
        <w:tc>
          <w:tcPr>
            <w:tcW w:w="426" w:type="dxa"/>
            <w:shd w:val="clear" w:color="auto" w:fill="auto"/>
          </w:tcPr>
          <w:p w:rsidR="00210B9B" w:rsidRPr="00537786" w:rsidRDefault="00F87AE4" w:rsidP="00F87AE4">
            <w:pPr>
              <w:ind w:leftChars="-281" w:left="-674" w:firstLineChars="27" w:firstLine="65"/>
              <w:rPr>
                <w:rFonts w:ascii="標楷體" w:eastAsia="標楷體" w:hAnsi="標楷體"/>
              </w:rPr>
            </w:pPr>
            <w:r w:rsidRPr="00537786">
              <w:rPr>
                <w:rFonts w:ascii="標楷體" w:eastAsia="標楷體" w:hAnsi="標楷體" w:hint="eastAsia"/>
              </w:rPr>
              <w:t xml:space="preserve">    </w:t>
            </w:r>
          </w:p>
        </w:tc>
        <w:tc>
          <w:tcPr>
            <w:tcW w:w="9213" w:type="dxa"/>
            <w:gridSpan w:val="2"/>
            <w:shd w:val="clear" w:color="auto" w:fill="auto"/>
          </w:tcPr>
          <w:p w:rsidR="00C40A6B" w:rsidRPr="00537786" w:rsidRDefault="00C40A6B" w:rsidP="00537786">
            <w:pPr>
              <w:spacing w:line="0" w:lineRule="atLeast"/>
              <w:ind w:leftChars="12" w:left="545" w:hangingChars="215" w:hanging="516"/>
              <w:rPr>
                <w:rFonts w:ascii="標楷體" w:eastAsia="標楷體" w:hAnsi="標楷體"/>
              </w:rPr>
            </w:pPr>
            <w:r w:rsidRPr="00537786">
              <w:rPr>
                <w:rFonts w:ascii="標楷體" w:eastAsia="標楷體" w:hAnsi="標楷體" w:hint="eastAsia"/>
              </w:rPr>
              <w:t>(</w:t>
            </w:r>
            <w:proofErr w:type="gramStart"/>
            <w:r w:rsidRPr="00537786">
              <w:rPr>
                <w:rFonts w:ascii="標楷體" w:eastAsia="標楷體" w:hAnsi="標楷體" w:hint="eastAsia"/>
              </w:rPr>
              <w:t>一</w:t>
            </w:r>
            <w:proofErr w:type="gramEnd"/>
            <w:r w:rsidRPr="00537786">
              <w:rPr>
                <w:rFonts w:ascii="標楷體" w:eastAsia="標楷體" w:hAnsi="標楷體" w:hint="eastAsia"/>
              </w:rPr>
              <w:t>)區段徵收:係指政府為實施國家經濟政策、發展新都市、</w:t>
            </w:r>
            <w:proofErr w:type="gramStart"/>
            <w:r w:rsidRPr="00537786">
              <w:rPr>
                <w:rFonts w:ascii="標楷體" w:eastAsia="標楷體" w:hAnsi="標楷體" w:hint="eastAsia"/>
              </w:rPr>
              <w:t>闢</w:t>
            </w:r>
            <w:proofErr w:type="gramEnd"/>
            <w:r w:rsidRPr="00537786">
              <w:rPr>
                <w:rFonts w:ascii="標楷體" w:eastAsia="標楷體" w:hAnsi="標楷體" w:hint="eastAsia"/>
              </w:rPr>
              <w:t>建新市鎮、新社區、更新舊都市及取得公共建設或興建國民住宅等用地，將一定區域內土地全部予以徵收，並依徵收目的重新整理、規劃、建設之一種公私兩蒙其利的土地綜合開發事業。</w:t>
            </w:r>
          </w:p>
          <w:p w:rsidR="00C40A6B" w:rsidRPr="00537786" w:rsidRDefault="00C40A6B" w:rsidP="00F87AE4">
            <w:pPr>
              <w:spacing w:line="0" w:lineRule="atLeast"/>
              <w:ind w:leftChars="13" w:left="545" w:hangingChars="214" w:hanging="514"/>
              <w:rPr>
                <w:rFonts w:ascii="標楷體" w:eastAsia="標楷體" w:hAnsi="標楷體"/>
              </w:rPr>
            </w:pPr>
            <w:r w:rsidRPr="00537786">
              <w:rPr>
                <w:rFonts w:ascii="標楷體" w:eastAsia="標楷體" w:hAnsi="標楷體" w:hint="eastAsia"/>
              </w:rPr>
              <w:t>(二)公告徵收日期:指區段徵收計畫書公告日期。</w:t>
            </w:r>
          </w:p>
          <w:p w:rsidR="00C40A6B" w:rsidRPr="00537786" w:rsidRDefault="00C40A6B" w:rsidP="00F87AE4">
            <w:pPr>
              <w:spacing w:line="0" w:lineRule="atLeast"/>
              <w:ind w:leftChars="13" w:left="545" w:hangingChars="214" w:hanging="514"/>
              <w:rPr>
                <w:rFonts w:ascii="標楷體" w:eastAsia="標楷體" w:hAnsi="標楷體"/>
              </w:rPr>
            </w:pPr>
            <w:r w:rsidRPr="00537786">
              <w:rPr>
                <w:rFonts w:ascii="標楷體" w:eastAsia="標楷體" w:hAnsi="標楷體" w:hint="eastAsia"/>
              </w:rPr>
              <w:t>(三)抵價地比例：</w:t>
            </w:r>
            <w:proofErr w:type="gramStart"/>
            <w:r w:rsidRPr="00537786">
              <w:rPr>
                <w:rFonts w:ascii="標楷體" w:eastAsia="標楷體" w:hAnsi="標楷體" w:hint="eastAsia"/>
              </w:rPr>
              <w:t>係由需用</w:t>
            </w:r>
            <w:proofErr w:type="gramEnd"/>
            <w:r w:rsidRPr="00537786">
              <w:rPr>
                <w:rFonts w:ascii="標楷體" w:eastAsia="標楷體" w:hAnsi="標楷體" w:hint="eastAsia"/>
              </w:rPr>
              <w:t>土地人考量各地區特性、開發目的、開發總費用、公共設施用地比例、土地使用強度、土地所有權人受益程度及實際發展狀況等因素決定。依據現行法令規定，抵價地比例以徵收總面積百分之五十為原則，最低不得少於百分之四十。</w:t>
            </w:r>
          </w:p>
          <w:p w:rsidR="00C40A6B" w:rsidRPr="00537786" w:rsidRDefault="00C40A6B" w:rsidP="00F87AE4">
            <w:pPr>
              <w:spacing w:line="0" w:lineRule="atLeast"/>
              <w:ind w:leftChars="13" w:left="545" w:hangingChars="214" w:hanging="514"/>
              <w:rPr>
                <w:rFonts w:ascii="標楷體" w:eastAsia="標楷體" w:hAnsi="標楷體"/>
              </w:rPr>
            </w:pPr>
            <w:r w:rsidRPr="00537786">
              <w:rPr>
                <w:rFonts w:ascii="標楷體" w:eastAsia="標楷體" w:hAnsi="標楷體" w:hint="eastAsia"/>
              </w:rPr>
              <w:t>(四)辦理面積：係指區段徵收開發範圍內土地之總面積。</w:t>
            </w:r>
          </w:p>
          <w:p w:rsidR="00C40A6B" w:rsidRPr="00537786" w:rsidRDefault="00C40A6B" w:rsidP="00F87AE4">
            <w:pPr>
              <w:spacing w:line="0" w:lineRule="atLeast"/>
              <w:ind w:leftChars="13" w:left="545" w:hangingChars="214" w:hanging="514"/>
              <w:rPr>
                <w:rFonts w:ascii="標楷體" w:eastAsia="標楷體" w:hAnsi="標楷體"/>
              </w:rPr>
            </w:pPr>
            <w:r w:rsidRPr="00537786">
              <w:rPr>
                <w:rFonts w:ascii="標楷體" w:eastAsia="標楷體" w:hAnsi="標楷體" w:hint="eastAsia"/>
              </w:rPr>
              <w:t>(五)土地分配面積：係指區段徵收開發範圍內土地分配作為建築土地及各項公共設施用地之總面積。</w:t>
            </w:r>
          </w:p>
          <w:p w:rsidR="00C40A6B" w:rsidRPr="00537786" w:rsidRDefault="00C40A6B" w:rsidP="00F87AE4">
            <w:pPr>
              <w:tabs>
                <w:tab w:val="left" w:pos="1336"/>
                <w:tab w:val="left" w:pos="1710"/>
                <w:tab w:val="left" w:pos="1916"/>
              </w:tabs>
              <w:spacing w:line="0" w:lineRule="atLeast"/>
              <w:ind w:leftChars="13" w:left="545" w:hangingChars="214" w:hanging="514"/>
              <w:rPr>
                <w:rFonts w:ascii="標楷體" w:eastAsia="標楷體" w:hAnsi="標楷體"/>
              </w:rPr>
            </w:pPr>
            <w:r w:rsidRPr="00537786">
              <w:rPr>
                <w:rFonts w:ascii="標楷體" w:eastAsia="標楷體" w:hAnsi="標楷體" w:hint="eastAsia"/>
              </w:rPr>
              <w:t>(六)開發總費用概算:以區段徵收計畫書內容所估算之數據為</w:t>
            </w:r>
            <w:proofErr w:type="gramStart"/>
            <w:r w:rsidRPr="00537786">
              <w:rPr>
                <w:rFonts w:ascii="標楷體" w:eastAsia="標楷體" w:hAnsi="標楷體" w:hint="eastAsia"/>
              </w:rPr>
              <w:t>準</w:t>
            </w:r>
            <w:proofErr w:type="gramEnd"/>
            <w:r w:rsidRPr="00537786">
              <w:rPr>
                <w:rFonts w:ascii="標楷體" w:eastAsia="標楷體" w:hAnsi="標楷體" w:hint="eastAsia"/>
              </w:rPr>
              <w:t>，包括徵收土地之現金補償地價、其他法定補償費及遷移費、協議價購地價、有償撥用公有地地價或公有土地以作價方式提供使用之地價款、無償撥用公有出租耕地補償承租人地價、公共設施費用</w:t>
            </w:r>
            <w:r w:rsidR="00F87AE4" w:rsidRPr="00537786">
              <w:rPr>
                <w:rFonts w:ascii="標楷體" w:eastAsia="標楷體" w:hAnsi="標楷體" w:hint="eastAsia"/>
              </w:rPr>
              <w:t>、公共設施管理維護費</w:t>
            </w:r>
            <w:r w:rsidRPr="00537786">
              <w:rPr>
                <w:rFonts w:ascii="標楷體" w:eastAsia="標楷體" w:hAnsi="標楷體" w:hint="eastAsia"/>
              </w:rPr>
              <w:t>、土地整理費用及貸款利息等項。</w:t>
            </w:r>
          </w:p>
          <w:p w:rsidR="00C40A6B" w:rsidRPr="00537786" w:rsidRDefault="00C40A6B" w:rsidP="00F87AE4">
            <w:pPr>
              <w:spacing w:line="0" w:lineRule="atLeast"/>
              <w:ind w:leftChars="13" w:left="545" w:hangingChars="214" w:hanging="514"/>
              <w:rPr>
                <w:rFonts w:ascii="標楷體" w:eastAsia="標楷體" w:hAnsi="標楷體"/>
              </w:rPr>
            </w:pPr>
            <w:r w:rsidRPr="00537786">
              <w:rPr>
                <w:rFonts w:ascii="標楷體" w:eastAsia="標楷體" w:hAnsi="標楷體" w:hint="eastAsia"/>
              </w:rPr>
              <w:t>(七)節省政府財政負擔</w:t>
            </w:r>
          </w:p>
          <w:p w:rsidR="00C40A6B" w:rsidRPr="00537786" w:rsidRDefault="00C40A6B" w:rsidP="00F87AE4">
            <w:pPr>
              <w:spacing w:line="0" w:lineRule="atLeast"/>
              <w:ind w:leftChars="13" w:left="545" w:hangingChars="214" w:hanging="514"/>
              <w:rPr>
                <w:rFonts w:ascii="標楷體" w:eastAsia="標楷體" w:hAnsi="標楷體"/>
              </w:rPr>
            </w:pPr>
            <w:r w:rsidRPr="00537786">
              <w:rPr>
                <w:rFonts w:ascii="標楷體" w:eastAsia="標楷體" w:hAnsi="標楷體" w:hint="eastAsia"/>
              </w:rPr>
              <w:t xml:space="preserve">    1.用地徵購地價:無償取得之公共設施用地，依徵收該等土地之補償地價核計。</w:t>
            </w:r>
          </w:p>
          <w:p w:rsidR="002A1BEA" w:rsidRPr="00537786" w:rsidRDefault="00C40A6B" w:rsidP="00F87AE4">
            <w:pPr>
              <w:spacing w:line="0" w:lineRule="atLeast"/>
              <w:ind w:leftChars="13" w:left="545" w:hangingChars="214" w:hanging="514"/>
              <w:rPr>
                <w:rFonts w:ascii="標楷體" w:eastAsia="標楷體" w:hAnsi="標楷體"/>
              </w:rPr>
            </w:pPr>
            <w:r w:rsidRPr="00537786">
              <w:rPr>
                <w:rFonts w:ascii="標楷體" w:eastAsia="標楷體" w:hAnsi="標楷體" w:hint="eastAsia"/>
              </w:rPr>
              <w:t xml:space="preserve">    2.工程建設費用:</w:t>
            </w:r>
            <w:r w:rsidR="000D77B9" w:rsidRPr="00537786">
              <w:rPr>
                <w:rFonts w:hint="eastAsia"/>
              </w:rPr>
              <w:t xml:space="preserve"> </w:t>
            </w:r>
            <w:r w:rsidR="000D77B9" w:rsidRPr="00537786">
              <w:rPr>
                <w:rFonts w:ascii="標楷體" w:eastAsia="標楷體" w:hAnsi="標楷體" w:hint="eastAsia"/>
              </w:rPr>
              <w:t>區段徵收範圍內公共設施用地之</w:t>
            </w:r>
            <w:proofErr w:type="gramStart"/>
            <w:r w:rsidR="000D77B9" w:rsidRPr="00537786">
              <w:rPr>
                <w:rFonts w:ascii="標楷體" w:eastAsia="標楷體" w:hAnsi="標楷體" w:hint="eastAsia"/>
              </w:rPr>
              <w:t>闢</w:t>
            </w:r>
            <w:proofErr w:type="gramEnd"/>
            <w:r w:rsidR="000D77B9" w:rsidRPr="00537786">
              <w:rPr>
                <w:rFonts w:ascii="標楷體" w:eastAsia="標楷體" w:hAnsi="標楷體" w:hint="eastAsia"/>
              </w:rPr>
              <w:t>建費用</w:t>
            </w:r>
            <w:r w:rsidRPr="00537786">
              <w:rPr>
                <w:rFonts w:ascii="標楷體" w:eastAsia="標楷體" w:hAnsi="標楷體" w:hint="eastAsia"/>
              </w:rPr>
              <w:t>。</w:t>
            </w:r>
          </w:p>
        </w:tc>
      </w:tr>
      <w:tr w:rsidR="005F0F30" w:rsidRPr="00537786" w:rsidTr="00BD09A2">
        <w:tc>
          <w:tcPr>
            <w:tcW w:w="426" w:type="dxa"/>
            <w:shd w:val="clear" w:color="auto" w:fill="auto"/>
          </w:tcPr>
          <w:p w:rsidR="00210B9B" w:rsidRPr="00537786" w:rsidRDefault="00210B9B" w:rsidP="00F87AE4">
            <w:pPr>
              <w:ind w:leftChars="-281" w:left="-674" w:firstLineChars="283" w:firstLine="679"/>
              <w:rPr>
                <w:rFonts w:ascii="標楷體" w:eastAsia="標楷體" w:hAnsi="標楷體"/>
              </w:rPr>
            </w:pPr>
          </w:p>
        </w:tc>
        <w:tc>
          <w:tcPr>
            <w:tcW w:w="9213" w:type="dxa"/>
            <w:gridSpan w:val="2"/>
            <w:shd w:val="clear" w:color="auto" w:fill="auto"/>
          </w:tcPr>
          <w:p w:rsidR="005C4051" w:rsidRPr="00537786" w:rsidRDefault="005C4051" w:rsidP="00F87AE4">
            <w:pPr>
              <w:spacing w:line="0" w:lineRule="atLeast"/>
              <w:ind w:leftChars="-281" w:left="-674" w:firstLineChars="283" w:firstLine="679"/>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統計單位：公頃；</w:t>
            </w:r>
            <w:r w:rsidR="00E42502" w:rsidRPr="00537786">
              <w:rPr>
                <w:rFonts w:ascii="標楷體" w:eastAsia="標楷體" w:hAnsi="標楷體" w:hint="eastAsia"/>
              </w:rPr>
              <w:t>新臺幣千元。</w:t>
            </w:r>
          </w:p>
          <w:p w:rsidR="00537786" w:rsidRDefault="005C4051" w:rsidP="00F87AE4">
            <w:pPr>
              <w:spacing w:line="0" w:lineRule="atLeast"/>
              <w:ind w:leftChars="-281" w:left="-674" w:firstLineChars="283" w:firstLine="679"/>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統計分類：</w:t>
            </w:r>
            <w:r w:rsidR="00C40A6B" w:rsidRPr="00537786">
              <w:rPr>
                <w:rFonts w:ascii="標楷體" w:eastAsia="標楷體" w:hAnsi="標楷體" w:hint="eastAsia"/>
              </w:rPr>
              <w:t>按地區名稱、</w:t>
            </w:r>
            <w:r w:rsidR="00212C70" w:rsidRPr="00537786">
              <w:rPr>
                <w:rFonts w:ascii="標楷體" w:eastAsia="標楷體" w:hAnsi="標楷體" w:hint="eastAsia"/>
              </w:rPr>
              <w:t>公告徵收日期、抵價地比例、</w:t>
            </w:r>
            <w:r w:rsidR="00C40A6B" w:rsidRPr="00537786">
              <w:rPr>
                <w:rFonts w:ascii="標楷體" w:eastAsia="標楷體" w:hAnsi="標楷體" w:hint="eastAsia"/>
              </w:rPr>
              <w:t>辦理面積、土地分配面積、</w:t>
            </w:r>
          </w:p>
          <w:p w:rsidR="005C4051" w:rsidRPr="00537786" w:rsidRDefault="00C40A6B" w:rsidP="00537786">
            <w:pPr>
              <w:spacing w:line="0" w:lineRule="atLeast"/>
              <w:ind w:leftChars="-281" w:left="-674" w:firstLineChars="283" w:firstLine="679"/>
              <w:rPr>
                <w:rFonts w:ascii="標楷體" w:eastAsia="標楷體" w:hAnsi="標楷體"/>
              </w:rPr>
            </w:pPr>
            <w:r w:rsidRPr="00537786">
              <w:rPr>
                <w:rFonts w:ascii="標楷體" w:eastAsia="標楷體" w:hAnsi="標楷體" w:hint="eastAsia"/>
              </w:rPr>
              <w:t>開發總費用概算、節省政府財政負擔等分類。</w:t>
            </w:r>
          </w:p>
          <w:p w:rsidR="005C4051" w:rsidRPr="00537786" w:rsidRDefault="00371A43" w:rsidP="00F87AE4">
            <w:pPr>
              <w:spacing w:line="0" w:lineRule="atLeast"/>
              <w:ind w:leftChars="-281" w:left="-674" w:firstLineChars="283" w:firstLine="679"/>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發布週期：</w:t>
            </w:r>
            <w:r w:rsidR="005C4051" w:rsidRPr="00537786">
              <w:rPr>
                <w:rFonts w:ascii="標楷體" w:eastAsia="標楷體" w:hAnsi="標楷體" w:hint="eastAsia"/>
              </w:rPr>
              <w:t>年。</w:t>
            </w:r>
          </w:p>
          <w:p w:rsidR="005C4051" w:rsidRPr="00537786" w:rsidRDefault="005C4051" w:rsidP="00F87AE4">
            <w:pPr>
              <w:spacing w:line="0" w:lineRule="atLeast"/>
              <w:ind w:leftChars="-281" w:left="-674" w:firstLineChars="283" w:firstLine="679"/>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時效：</w:t>
            </w:r>
            <w:r w:rsidR="00D25761" w:rsidRPr="00537786">
              <w:rPr>
                <w:rFonts w:ascii="標楷體" w:eastAsia="標楷體" w:hAnsi="標楷體" w:hint="eastAsia"/>
              </w:rPr>
              <w:t>2</w:t>
            </w:r>
            <w:r w:rsidRPr="00537786">
              <w:rPr>
                <w:rFonts w:ascii="標楷體" w:eastAsia="標楷體" w:hAnsi="標楷體" w:hint="eastAsia"/>
              </w:rPr>
              <w:t>個月。</w:t>
            </w:r>
          </w:p>
          <w:p w:rsidR="00210B9B" w:rsidRPr="00537786" w:rsidRDefault="005C4051" w:rsidP="00F87AE4">
            <w:pPr>
              <w:spacing w:line="0" w:lineRule="atLeast"/>
              <w:ind w:leftChars="-281" w:left="-674" w:firstLineChars="283" w:firstLine="679"/>
              <w:rPr>
                <w:rFonts w:ascii="標楷體" w:eastAsia="標楷體" w:hAnsi="標楷體"/>
              </w:rPr>
            </w:pPr>
            <w:proofErr w:type="gramStart"/>
            <w:r w:rsidRPr="00537786">
              <w:rPr>
                <w:rFonts w:ascii="標楷體" w:eastAsia="標楷體" w:hAnsi="標楷體" w:hint="eastAsia"/>
              </w:rPr>
              <w:lastRenderedPageBreak/>
              <w:t>＊</w:t>
            </w:r>
            <w:proofErr w:type="gramEnd"/>
            <w:r w:rsidRPr="00537786">
              <w:rPr>
                <w:rFonts w:ascii="標楷體" w:eastAsia="標楷體" w:hAnsi="標楷體" w:hint="eastAsia"/>
              </w:rPr>
              <w:t>資料變革：無。</w:t>
            </w:r>
          </w:p>
        </w:tc>
      </w:tr>
      <w:tr w:rsidR="005F0F30" w:rsidRPr="00537786" w:rsidTr="00BD09A2">
        <w:tc>
          <w:tcPr>
            <w:tcW w:w="9639" w:type="dxa"/>
            <w:gridSpan w:val="3"/>
            <w:shd w:val="clear" w:color="auto" w:fill="auto"/>
          </w:tcPr>
          <w:p w:rsidR="000D77B9" w:rsidRPr="00537786" w:rsidRDefault="00287DC6" w:rsidP="00F87AE4">
            <w:pPr>
              <w:ind w:leftChars="-281" w:left="-674" w:firstLineChars="283" w:firstLine="679"/>
              <w:rPr>
                <w:rFonts w:ascii="標楷體" w:eastAsia="標楷體" w:hAnsi="標楷體"/>
              </w:rPr>
            </w:pPr>
            <w:r w:rsidRPr="00537786">
              <w:rPr>
                <w:rFonts w:ascii="標楷體" w:eastAsia="標楷體" w:hAnsi="標楷體" w:hint="eastAsia"/>
              </w:rPr>
              <w:lastRenderedPageBreak/>
              <w:t>四、公開資料發布訊息：</w:t>
            </w:r>
          </w:p>
          <w:p w:rsidR="00537786" w:rsidRDefault="00EE1993" w:rsidP="00EE1993">
            <w:pPr>
              <w:snapToGrid w:val="0"/>
              <w:jc w:val="both"/>
              <w:rPr>
                <w:rFonts w:eastAsia="標楷體" w:cs="標楷體"/>
              </w:rPr>
            </w:pPr>
            <w:r w:rsidRPr="00537786">
              <w:rPr>
                <w:rFonts w:ascii="標楷體" w:eastAsia="標楷體" w:hAnsi="標楷體" w:hint="eastAsia"/>
              </w:rPr>
              <w:t xml:space="preserve">   </w:t>
            </w:r>
            <w:r w:rsidR="00537786">
              <w:rPr>
                <w:rFonts w:ascii="標楷體" w:eastAsia="標楷體" w:hAnsi="標楷體" w:hint="eastAsia"/>
              </w:rPr>
              <w:t xml:space="preserve"> </w:t>
            </w:r>
            <w:proofErr w:type="gramStart"/>
            <w:r w:rsidR="000D77B9" w:rsidRPr="00537786">
              <w:rPr>
                <w:rFonts w:ascii="標楷體" w:eastAsia="標楷體" w:hAnsi="標楷體" w:hint="eastAsia"/>
              </w:rPr>
              <w:t>＊</w:t>
            </w:r>
            <w:proofErr w:type="gramEnd"/>
            <w:r w:rsidR="000D77B9" w:rsidRPr="00537786">
              <w:rPr>
                <w:rFonts w:ascii="標楷體" w:eastAsia="標楷體" w:hAnsi="標楷體" w:hint="eastAsia"/>
              </w:rPr>
              <w:t>預告發布日期：</w:t>
            </w:r>
            <w:r w:rsidR="00F83EDE" w:rsidRPr="00537786">
              <w:rPr>
                <w:rFonts w:ascii="標楷體" w:eastAsia="標楷體" w:hAnsi="標楷體" w:hint="eastAsia"/>
              </w:rPr>
              <w:t>次年2</w:t>
            </w:r>
            <w:r w:rsidRPr="00537786">
              <w:rPr>
                <w:rFonts w:ascii="標楷體" w:eastAsia="標楷體" w:hAnsi="標楷體" w:hint="eastAsia"/>
              </w:rPr>
              <w:t>月底</w:t>
            </w:r>
            <w:r w:rsidRPr="00537786">
              <w:rPr>
                <w:rFonts w:eastAsia="標楷體"/>
              </w:rPr>
              <w:t>(</w:t>
            </w:r>
            <w:r w:rsidRPr="00537786">
              <w:rPr>
                <w:rFonts w:eastAsia="標楷體" w:cs="標楷體" w:hint="eastAsia"/>
              </w:rPr>
              <w:t>原訂預告發布日期如遇例假日或國定假日則延至下一個</w:t>
            </w:r>
          </w:p>
          <w:p w:rsidR="000D77B9" w:rsidRPr="00537786" w:rsidRDefault="00537786" w:rsidP="00EE1993">
            <w:pPr>
              <w:snapToGrid w:val="0"/>
              <w:jc w:val="both"/>
              <w:rPr>
                <w:rFonts w:ascii="標楷體" w:eastAsia="標楷體" w:hAnsi="標楷體"/>
              </w:rPr>
            </w:pPr>
            <w:r>
              <w:rPr>
                <w:rFonts w:eastAsia="標楷體" w:cs="標楷體" w:hint="eastAsia"/>
              </w:rPr>
              <w:t xml:space="preserve">    </w:t>
            </w:r>
            <w:r w:rsidR="00EE1993" w:rsidRPr="00537786">
              <w:rPr>
                <w:rFonts w:eastAsia="標楷體" w:cs="標楷體" w:hint="eastAsia"/>
              </w:rPr>
              <w:t>工作日發布</w:t>
            </w:r>
            <w:r w:rsidR="00EE1993" w:rsidRPr="00537786">
              <w:rPr>
                <w:rFonts w:eastAsia="標楷體"/>
              </w:rPr>
              <w:t>)</w:t>
            </w:r>
            <w:r w:rsidR="00F83EDE" w:rsidRPr="00537786">
              <w:rPr>
                <w:rFonts w:ascii="標楷體" w:eastAsia="標楷體" w:hAnsi="標楷體" w:hint="eastAsia"/>
              </w:rPr>
              <w:t>。</w:t>
            </w:r>
          </w:p>
          <w:p w:rsidR="00287DC6" w:rsidRPr="00537786" w:rsidRDefault="000D77B9" w:rsidP="00F87AE4">
            <w:pPr>
              <w:ind w:leftChars="-281" w:left="-674" w:firstLineChars="483" w:firstLine="1159"/>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同步發送單位：</w:t>
            </w:r>
            <w:proofErr w:type="gramStart"/>
            <w:r w:rsidR="00F83EDE" w:rsidRPr="00537786">
              <w:rPr>
                <w:rFonts w:ascii="標楷體" w:eastAsia="標楷體" w:hAnsi="標楷體" w:hint="eastAsia"/>
              </w:rPr>
              <w:t>臺</w:t>
            </w:r>
            <w:proofErr w:type="gramEnd"/>
            <w:r w:rsidR="00F83EDE" w:rsidRPr="00537786">
              <w:rPr>
                <w:rFonts w:ascii="標楷體" w:eastAsia="標楷體" w:hAnsi="標楷體" w:hint="eastAsia"/>
              </w:rPr>
              <w:t>中市政府主計處。</w:t>
            </w:r>
          </w:p>
        </w:tc>
      </w:tr>
      <w:tr w:rsidR="005F0F30" w:rsidRPr="00537786" w:rsidTr="00BD09A2">
        <w:tc>
          <w:tcPr>
            <w:tcW w:w="9639" w:type="dxa"/>
            <w:gridSpan w:val="3"/>
            <w:shd w:val="clear" w:color="auto" w:fill="auto"/>
          </w:tcPr>
          <w:p w:rsidR="00A537DD" w:rsidRPr="00537786" w:rsidRDefault="00287DC6" w:rsidP="00F87AE4">
            <w:pPr>
              <w:ind w:leftChars="-281" w:left="-674" w:firstLineChars="283" w:firstLine="679"/>
              <w:rPr>
                <w:rFonts w:ascii="標楷體" w:eastAsia="標楷體" w:hAnsi="標楷體"/>
              </w:rPr>
            </w:pPr>
            <w:r w:rsidRPr="00537786">
              <w:rPr>
                <w:rFonts w:ascii="標楷體" w:eastAsia="標楷體" w:hAnsi="標楷體" w:hint="eastAsia"/>
              </w:rPr>
              <w:t>五、資料品質：</w:t>
            </w:r>
          </w:p>
          <w:p w:rsidR="00537786" w:rsidRDefault="00A537DD" w:rsidP="00537786">
            <w:pPr>
              <w:ind w:leftChars="192" w:left="555" w:hangingChars="39" w:hanging="94"/>
              <w:rPr>
                <w:rFonts w:eastAsia="標楷體"/>
                <w:color w:val="000000"/>
              </w:rPr>
            </w:pPr>
            <w:proofErr w:type="gramStart"/>
            <w:r w:rsidRPr="00537786">
              <w:rPr>
                <w:rFonts w:ascii="標楷體" w:eastAsia="標楷體" w:hAnsi="標楷體" w:hint="eastAsia"/>
              </w:rPr>
              <w:t>＊</w:t>
            </w:r>
            <w:proofErr w:type="gramEnd"/>
            <w:r w:rsidRPr="00537786">
              <w:rPr>
                <w:rFonts w:ascii="標楷體" w:eastAsia="標楷體" w:hAnsi="標楷體" w:hint="eastAsia"/>
              </w:rPr>
              <w:t>統計指標編製方法與資料來源說明：</w:t>
            </w:r>
            <w:r w:rsidR="00D82FCB" w:rsidRPr="00537786">
              <w:rPr>
                <w:rFonts w:eastAsia="標楷體" w:hint="eastAsia"/>
                <w:color w:val="000000"/>
              </w:rPr>
              <w:t>由本局區段徵收科依據本府各區段徵收區公告</w:t>
            </w:r>
          </w:p>
          <w:p w:rsidR="00A537DD" w:rsidRPr="00537786" w:rsidRDefault="00D82FCB" w:rsidP="00537786">
            <w:pPr>
              <w:ind w:leftChars="192" w:left="555" w:hangingChars="39" w:hanging="94"/>
              <w:rPr>
                <w:rFonts w:ascii="標楷體" w:eastAsia="標楷體" w:hAnsi="標楷體"/>
              </w:rPr>
            </w:pPr>
            <w:r w:rsidRPr="00537786">
              <w:rPr>
                <w:rFonts w:eastAsia="標楷體" w:hint="eastAsia"/>
                <w:color w:val="000000"/>
              </w:rPr>
              <w:t>計畫書資料彙編。</w:t>
            </w:r>
          </w:p>
          <w:p w:rsidR="00537786" w:rsidRDefault="00A537DD" w:rsidP="00537786">
            <w:pPr>
              <w:ind w:leftChars="192" w:left="562" w:hangingChars="42" w:hanging="101"/>
              <w:rPr>
                <w:rFonts w:ascii="標楷體" w:eastAsia="標楷體" w:hAnsi="標楷體"/>
              </w:rPr>
            </w:pPr>
            <w:proofErr w:type="gramStart"/>
            <w:r w:rsidRPr="00537786">
              <w:rPr>
                <w:rFonts w:ascii="標楷體" w:eastAsia="標楷體" w:hAnsi="標楷體" w:hint="eastAsia"/>
              </w:rPr>
              <w:t>＊</w:t>
            </w:r>
            <w:proofErr w:type="gramEnd"/>
            <w:r w:rsidRPr="00537786">
              <w:rPr>
                <w:rFonts w:ascii="標楷體" w:eastAsia="標楷體" w:hAnsi="標楷體" w:hint="eastAsia"/>
              </w:rPr>
              <w:t>統計資料交叉查核及確保資料合理性之機制：</w:t>
            </w:r>
            <w:proofErr w:type="gramStart"/>
            <w:r w:rsidRPr="00537786">
              <w:rPr>
                <w:rFonts w:ascii="標楷體" w:eastAsia="標楷體" w:hAnsi="標楷體" w:hint="eastAsia"/>
              </w:rPr>
              <w:t>以檢誤條件</w:t>
            </w:r>
            <w:proofErr w:type="gramEnd"/>
            <w:r w:rsidRPr="00537786">
              <w:rPr>
                <w:rFonts w:ascii="標楷體" w:eastAsia="標楷體" w:hAnsi="標楷體" w:hint="eastAsia"/>
              </w:rPr>
              <w:t>查核資料，並經業務單位、</w:t>
            </w:r>
          </w:p>
          <w:p w:rsidR="00287DC6" w:rsidRPr="00537786" w:rsidRDefault="00A537DD" w:rsidP="00537786">
            <w:pPr>
              <w:ind w:leftChars="192" w:left="562" w:hangingChars="42" w:hanging="101"/>
              <w:rPr>
                <w:rFonts w:ascii="標楷體" w:eastAsia="標楷體" w:hAnsi="標楷體"/>
              </w:rPr>
            </w:pPr>
            <w:r w:rsidRPr="00537786">
              <w:rPr>
                <w:rFonts w:ascii="標楷體" w:eastAsia="標楷體" w:hAnsi="標楷體" w:hint="eastAsia"/>
              </w:rPr>
              <w:t>會計室及各該主管機關審核，以確保資料合理性。</w:t>
            </w:r>
          </w:p>
        </w:tc>
      </w:tr>
    </w:tbl>
    <w:p w:rsidR="006A0952" w:rsidRPr="00537786" w:rsidRDefault="00CB58D8" w:rsidP="00537786">
      <w:pPr>
        <w:ind w:firstLineChars="59" w:firstLine="142"/>
      </w:pPr>
      <w:r w:rsidRPr="00537786">
        <w:rPr>
          <w:rFonts w:ascii="標楷體" w:eastAsia="標楷體" w:hAnsi="標楷體" w:hint="eastAsia"/>
        </w:rPr>
        <w:t>六、須注意及預定改變</w:t>
      </w:r>
      <w:bookmarkStart w:id="0" w:name="_GoBack"/>
      <w:bookmarkEnd w:id="0"/>
      <w:r w:rsidRPr="00537786">
        <w:rPr>
          <w:rFonts w:ascii="標楷體" w:eastAsia="標楷體" w:hAnsi="標楷體" w:hint="eastAsia"/>
        </w:rPr>
        <w:t>之事項：</w:t>
      </w:r>
      <w:proofErr w:type="gramStart"/>
      <w:r w:rsidRPr="00537786">
        <w:rPr>
          <w:rFonts w:ascii="標楷體" w:eastAsia="標楷體" w:hAnsi="標楷體" w:hint="eastAsia"/>
        </w:rPr>
        <w:t>表號</w:t>
      </w:r>
      <w:proofErr w:type="gramEnd"/>
      <w:r w:rsidRPr="00537786">
        <w:rPr>
          <w:rFonts w:ascii="標楷體" w:eastAsia="標楷體" w:hAnsi="標楷體"/>
        </w:rPr>
        <w:t>11242-03-03-2</w:t>
      </w:r>
      <w:r w:rsidRPr="00537786">
        <w:rPr>
          <w:rFonts w:ascii="標楷體" w:eastAsia="標楷體" w:hAnsi="標楷體" w:hint="eastAsia"/>
        </w:rPr>
        <w:t>。</w:t>
      </w:r>
    </w:p>
    <w:sectPr w:rsidR="006A0952" w:rsidRPr="00537786" w:rsidSect="00210B9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564" w:rsidRDefault="00ED0564" w:rsidP="006A3926">
      <w:r>
        <w:separator/>
      </w:r>
    </w:p>
  </w:endnote>
  <w:endnote w:type="continuationSeparator" w:id="0">
    <w:p w:rsidR="00ED0564" w:rsidRDefault="00ED0564" w:rsidP="006A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564" w:rsidRDefault="00ED0564" w:rsidP="006A3926">
      <w:r>
        <w:separator/>
      </w:r>
    </w:p>
  </w:footnote>
  <w:footnote w:type="continuationSeparator" w:id="0">
    <w:p w:rsidR="00ED0564" w:rsidRDefault="00ED0564" w:rsidP="006A3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C4E16"/>
    <w:multiLevelType w:val="hybridMultilevel"/>
    <w:tmpl w:val="F04A0DEE"/>
    <w:lvl w:ilvl="0" w:tplc="EDAC6338">
      <w:start w:val="3"/>
      <w:numFmt w:val="bullet"/>
      <w:lvlText w:val="＊"/>
      <w:lvlJc w:val="left"/>
      <w:pPr>
        <w:tabs>
          <w:tab w:val="num" w:pos="252"/>
        </w:tabs>
        <w:ind w:left="252" w:hanging="360"/>
      </w:pPr>
      <w:rPr>
        <w:rFonts w:ascii="標楷體" w:eastAsia="標楷體" w:hAnsi="標楷體" w:cs="Times New Roman" w:hint="eastAsia"/>
      </w:rPr>
    </w:lvl>
    <w:lvl w:ilvl="1" w:tplc="04090003" w:tentative="1">
      <w:start w:val="1"/>
      <w:numFmt w:val="bullet"/>
      <w:lvlText w:val=""/>
      <w:lvlJc w:val="left"/>
      <w:pPr>
        <w:tabs>
          <w:tab w:val="num" w:pos="852"/>
        </w:tabs>
        <w:ind w:left="852" w:hanging="480"/>
      </w:pPr>
      <w:rPr>
        <w:rFonts w:ascii="Wingdings" w:hAnsi="Wingdings" w:hint="default"/>
      </w:rPr>
    </w:lvl>
    <w:lvl w:ilvl="2" w:tplc="04090005" w:tentative="1">
      <w:start w:val="1"/>
      <w:numFmt w:val="bullet"/>
      <w:lvlText w:val=""/>
      <w:lvlJc w:val="left"/>
      <w:pPr>
        <w:tabs>
          <w:tab w:val="num" w:pos="1332"/>
        </w:tabs>
        <w:ind w:left="1332" w:hanging="480"/>
      </w:pPr>
      <w:rPr>
        <w:rFonts w:ascii="Wingdings" w:hAnsi="Wingdings" w:hint="default"/>
      </w:rPr>
    </w:lvl>
    <w:lvl w:ilvl="3" w:tplc="04090001" w:tentative="1">
      <w:start w:val="1"/>
      <w:numFmt w:val="bullet"/>
      <w:lvlText w:val=""/>
      <w:lvlJc w:val="left"/>
      <w:pPr>
        <w:tabs>
          <w:tab w:val="num" w:pos="1812"/>
        </w:tabs>
        <w:ind w:left="1812" w:hanging="480"/>
      </w:pPr>
      <w:rPr>
        <w:rFonts w:ascii="Wingdings" w:hAnsi="Wingdings" w:hint="default"/>
      </w:rPr>
    </w:lvl>
    <w:lvl w:ilvl="4" w:tplc="04090003" w:tentative="1">
      <w:start w:val="1"/>
      <w:numFmt w:val="bullet"/>
      <w:lvlText w:val=""/>
      <w:lvlJc w:val="left"/>
      <w:pPr>
        <w:tabs>
          <w:tab w:val="num" w:pos="2292"/>
        </w:tabs>
        <w:ind w:left="2292" w:hanging="480"/>
      </w:pPr>
      <w:rPr>
        <w:rFonts w:ascii="Wingdings" w:hAnsi="Wingdings" w:hint="default"/>
      </w:rPr>
    </w:lvl>
    <w:lvl w:ilvl="5" w:tplc="04090005" w:tentative="1">
      <w:start w:val="1"/>
      <w:numFmt w:val="bullet"/>
      <w:lvlText w:val=""/>
      <w:lvlJc w:val="left"/>
      <w:pPr>
        <w:tabs>
          <w:tab w:val="num" w:pos="2772"/>
        </w:tabs>
        <w:ind w:left="2772" w:hanging="480"/>
      </w:pPr>
      <w:rPr>
        <w:rFonts w:ascii="Wingdings" w:hAnsi="Wingdings" w:hint="default"/>
      </w:rPr>
    </w:lvl>
    <w:lvl w:ilvl="6" w:tplc="04090001" w:tentative="1">
      <w:start w:val="1"/>
      <w:numFmt w:val="bullet"/>
      <w:lvlText w:val=""/>
      <w:lvlJc w:val="left"/>
      <w:pPr>
        <w:tabs>
          <w:tab w:val="num" w:pos="3252"/>
        </w:tabs>
        <w:ind w:left="3252" w:hanging="480"/>
      </w:pPr>
      <w:rPr>
        <w:rFonts w:ascii="Wingdings" w:hAnsi="Wingdings" w:hint="default"/>
      </w:rPr>
    </w:lvl>
    <w:lvl w:ilvl="7" w:tplc="04090003" w:tentative="1">
      <w:start w:val="1"/>
      <w:numFmt w:val="bullet"/>
      <w:lvlText w:val=""/>
      <w:lvlJc w:val="left"/>
      <w:pPr>
        <w:tabs>
          <w:tab w:val="num" w:pos="3732"/>
        </w:tabs>
        <w:ind w:left="3732" w:hanging="480"/>
      </w:pPr>
      <w:rPr>
        <w:rFonts w:ascii="Wingdings" w:hAnsi="Wingdings" w:hint="default"/>
      </w:rPr>
    </w:lvl>
    <w:lvl w:ilvl="8" w:tplc="04090005" w:tentative="1">
      <w:start w:val="1"/>
      <w:numFmt w:val="bullet"/>
      <w:lvlText w:val=""/>
      <w:lvlJc w:val="left"/>
      <w:pPr>
        <w:tabs>
          <w:tab w:val="num" w:pos="4212"/>
        </w:tabs>
        <w:ind w:left="421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F3"/>
    <w:rsid w:val="00004939"/>
    <w:rsid w:val="00015232"/>
    <w:rsid w:val="000314B0"/>
    <w:rsid w:val="00044485"/>
    <w:rsid w:val="000D77B9"/>
    <w:rsid w:val="0012770F"/>
    <w:rsid w:val="00210B9B"/>
    <w:rsid w:val="00212C70"/>
    <w:rsid w:val="00236925"/>
    <w:rsid w:val="0026050D"/>
    <w:rsid w:val="00287DC6"/>
    <w:rsid w:val="002A1BEA"/>
    <w:rsid w:val="002A5BCD"/>
    <w:rsid w:val="002A7A43"/>
    <w:rsid w:val="002C78D3"/>
    <w:rsid w:val="002D5596"/>
    <w:rsid w:val="002E05C5"/>
    <w:rsid w:val="0030025C"/>
    <w:rsid w:val="00327349"/>
    <w:rsid w:val="00371A43"/>
    <w:rsid w:val="00376ACA"/>
    <w:rsid w:val="003917E3"/>
    <w:rsid w:val="003C682A"/>
    <w:rsid w:val="003F77AF"/>
    <w:rsid w:val="0046425D"/>
    <w:rsid w:val="00477891"/>
    <w:rsid w:val="00537786"/>
    <w:rsid w:val="00537EC1"/>
    <w:rsid w:val="005C08C6"/>
    <w:rsid w:val="005C4051"/>
    <w:rsid w:val="005D60EA"/>
    <w:rsid w:val="005F0F30"/>
    <w:rsid w:val="00616D90"/>
    <w:rsid w:val="006A0952"/>
    <w:rsid w:val="006A3926"/>
    <w:rsid w:val="006C3C76"/>
    <w:rsid w:val="007119BE"/>
    <w:rsid w:val="00763BF3"/>
    <w:rsid w:val="007A7579"/>
    <w:rsid w:val="007E5B7B"/>
    <w:rsid w:val="0083303D"/>
    <w:rsid w:val="00845E4F"/>
    <w:rsid w:val="008A43C0"/>
    <w:rsid w:val="008C3C03"/>
    <w:rsid w:val="008F6A7E"/>
    <w:rsid w:val="00926206"/>
    <w:rsid w:val="00990C6C"/>
    <w:rsid w:val="00A537DD"/>
    <w:rsid w:val="00AD0339"/>
    <w:rsid w:val="00B4155E"/>
    <w:rsid w:val="00BB2A52"/>
    <w:rsid w:val="00BD09A2"/>
    <w:rsid w:val="00C12495"/>
    <w:rsid w:val="00C20E6D"/>
    <w:rsid w:val="00C37766"/>
    <w:rsid w:val="00C40A6B"/>
    <w:rsid w:val="00C707FD"/>
    <w:rsid w:val="00CB58D8"/>
    <w:rsid w:val="00CC5911"/>
    <w:rsid w:val="00D135A4"/>
    <w:rsid w:val="00D25761"/>
    <w:rsid w:val="00D73CDF"/>
    <w:rsid w:val="00D82FCB"/>
    <w:rsid w:val="00DB4D98"/>
    <w:rsid w:val="00E27C5E"/>
    <w:rsid w:val="00E42502"/>
    <w:rsid w:val="00E573AA"/>
    <w:rsid w:val="00E60CE4"/>
    <w:rsid w:val="00E71D79"/>
    <w:rsid w:val="00E82E22"/>
    <w:rsid w:val="00E82FEB"/>
    <w:rsid w:val="00ED0564"/>
    <w:rsid w:val="00ED106E"/>
    <w:rsid w:val="00ED15D6"/>
    <w:rsid w:val="00ED1C8C"/>
    <w:rsid w:val="00EE1993"/>
    <w:rsid w:val="00F40D1C"/>
    <w:rsid w:val="00F659CB"/>
    <w:rsid w:val="00F83EDE"/>
    <w:rsid w:val="00F87AE4"/>
    <w:rsid w:val="00FD06D1"/>
    <w:rsid w:val="00FF5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AC59"/>
  <w15:docId w15:val="{DCCD9568-D1D0-494E-B666-895964C7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3CD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A3926"/>
    <w:pPr>
      <w:tabs>
        <w:tab w:val="center" w:pos="4153"/>
        <w:tab w:val="right" w:pos="8306"/>
      </w:tabs>
      <w:snapToGrid w:val="0"/>
    </w:pPr>
    <w:rPr>
      <w:sz w:val="20"/>
      <w:szCs w:val="20"/>
    </w:rPr>
  </w:style>
  <w:style w:type="character" w:customStyle="1" w:styleId="a5">
    <w:name w:val="頁首 字元"/>
    <w:link w:val="a4"/>
    <w:rsid w:val="006A3926"/>
    <w:rPr>
      <w:kern w:val="2"/>
    </w:rPr>
  </w:style>
  <w:style w:type="paragraph" w:styleId="a6">
    <w:name w:val="footer"/>
    <w:basedOn w:val="a"/>
    <w:link w:val="a7"/>
    <w:rsid w:val="006A3926"/>
    <w:pPr>
      <w:tabs>
        <w:tab w:val="center" w:pos="4153"/>
        <w:tab w:val="right" w:pos="8306"/>
      </w:tabs>
      <w:snapToGrid w:val="0"/>
    </w:pPr>
    <w:rPr>
      <w:sz w:val="20"/>
      <w:szCs w:val="20"/>
    </w:rPr>
  </w:style>
  <w:style w:type="character" w:customStyle="1" w:styleId="a7">
    <w:name w:val="頁尾 字元"/>
    <w:link w:val="a6"/>
    <w:rsid w:val="006A3926"/>
    <w:rPr>
      <w:kern w:val="2"/>
    </w:rPr>
  </w:style>
  <w:style w:type="paragraph" w:styleId="a8">
    <w:name w:val="Balloon Text"/>
    <w:basedOn w:val="a"/>
    <w:link w:val="a9"/>
    <w:rsid w:val="00537EC1"/>
    <w:rPr>
      <w:rFonts w:ascii="Cambria" w:hAnsi="Cambria"/>
      <w:sz w:val="18"/>
      <w:szCs w:val="18"/>
    </w:rPr>
  </w:style>
  <w:style w:type="character" w:customStyle="1" w:styleId="a9">
    <w:name w:val="註解方塊文字 字元"/>
    <w:link w:val="a8"/>
    <w:rsid w:val="00537EC1"/>
    <w:rPr>
      <w:rFonts w:ascii="Cambria" w:eastAsia="新細明體" w:hAnsi="Cambria" w:cs="Times New Roman"/>
      <w:kern w:val="2"/>
      <w:sz w:val="18"/>
      <w:szCs w:val="18"/>
    </w:rPr>
  </w:style>
  <w:style w:type="character" w:styleId="aa">
    <w:name w:val="Hyperlink"/>
    <w:basedOn w:val="a0"/>
    <w:rsid w:val="007A7579"/>
    <w:rPr>
      <w:color w:val="0000FF" w:themeColor="hyperlink"/>
      <w:u w:val="single"/>
    </w:rPr>
  </w:style>
  <w:style w:type="paragraph" w:styleId="ab">
    <w:name w:val="List Paragraph"/>
    <w:basedOn w:val="a"/>
    <w:uiPriority w:val="34"/>
    <w:qFormat/>
    <w:rsid w:val="005377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200</Words>
  <Characters>1144</Characters>
  <Application>Microsoft Office Word</Application>
  <DocSecurity>0</DocSecurity>
  <Lines>9</Lines>
  <Paragraphs>2</Paragraphs>
  <ScaleCrop>false</ScaleCrop>
  <Company>行政院主計處中部辦公室案</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creator>oa_0472</dc:creator>
  <cp:lastModifiedBy>許雯嵐</cp:lastModifiedBy>
  <cp:revision>18</cp:revision>
  <cp:lastPrinted>2013-05-31T06:52:00Z</cp:lastPrinted>
  <dcterms:created xsi:type="dcterms:W3CDTF">2015-04-15T10:16:00Z</dcterms:created>
  <dcterms:modified xsi:type="dcterms:W3CDTF">2020-12-19T05:42:00Z</dcterms:modified>
</cp:coreProperties>
</file>