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BC" w:rsidRDefault="007E2A2C">
      <w:pPr>
        <w:spacing w:line="40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標楷體" w:hAnsi="Times New Roman"/>
          <w:b/>
          <w:sz w:val="28"/>
          <w:szCs w:val="28"/>
        </w:rPr>
        <w:t>統計資料背景說明</w:t>
      </w:r>
    </w:p>
    <w:p w:rsidR="00230FBC" w:rsidRDefault="007E2A2C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資料種類：土地統計</w:t>
      </w:r>
    </w:p>
    <w:p w:rsidR="00230FBC" w:rsidRDefault="007E2A2C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資料項目：臺中市龍井區實施耕地三七五減租成果增減原因</w:t>
      </w:r>
    </w:p>
    <w:p w:rsidR="00230FBC" w:rsidRDefault="007E2A2C">
      <w:pPr>
        <w:spacing w:line="400" w:lineRule="exact"/>
        <w:ind w:left="56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一、發布及編製機關單位</w:t>
      </w:r>
    </w:p>
    <w:p w:rsidR="00230FBC" w:rsidRDefault="007E2A2C">
      <w:pPr>
        <w:spacing w:line="400" w:lineRule="exact"/>
        <w:ind w:left="480"/>
      </w:pPr>
      <w:r>
        <w:rPr>
          <w:rFonts w:ascii="Times New Roman" w:eastAsia="標楷體" w:hAnsi="Times New Roman"/>
          <w:sz w:val="28"/>
          <w:szCs w:val="28"/>
        </w:rPr>
        <w:t>＊發布機關、單位：</w:t>
      </w:r>
      <w:r>
        <w:rPr>
          <w:rFonts w:ascii="標楷體" w:eastAsia="標楷體" w:hAnsi="標楷體"/>
          <w:spacing w:val="-4"/>
          <w:sz w:val="28"/>
        </w:rPr>
        <w:t>臺中市龍井區公所會計室</w:t>
      </w:r>
    </w:p>
    <w:p w:rsidR="00230FBC" w:rsidRDefault="007E2A2C">
      <w:pPr>
        <w:spacing w:line="400" w:lineRule="exact"/>
        <w:ind w:left="480"/>
        <w:rPr>
          <w:rFonts w:ascii="標楷體" w:eastAsia="標楷體" w:hAnsi="標楷體"/>
          <w:spacing w:val="-4"/>
          <w:sz w:val="28"/>
        </w:rPr>
      </w:pPr>
      <w:r>
        <w:rPr>
          <w:rFonts w:ascii="標楷體" w:eastAsia="標楷體" w:hAnsi="標楷體"/>
          <w:spacing w:val="-4"/>
          <w:sz w:val="28"/>
        </w:rPr>
        <w:t>＊編製單位：臺中市龍井區公所農業課</w:t>
      </w:r>
      <w:r>
        <w:rPr>
          <w:rFonts w:ascii="標楷體" w:eastAsia="標楷體" w:hAnsi="標楷體"/>
          <w:spacing w:val="-4"/>
          <w:sz w:val="28"/>
        </w:rPr>
        <w:t xml:space="preserve"> </w:t>
      </w:r>
      <w:r>
        <w:rPr>
          <w:rFonts w:ascii="標楷體" w:eastAsia="標楷體" w:hAnsi="標楷體"/>
          <w:spacing w:val="-4"/>
          <w:sz w:val="28"/>
        </w:rPr>
        <w:t>阮銘哲</w:t>
      </w:r>
    </w:p>
    <w:p w:rsidR="00230FBC" w:rsidRDefault="007E2A2C">
      <w:pPr>
        <w:spacing w:line="400" w:lineRule="exact"/>
        <w:ind w:left="480"/>
        <w:rPr>
          <w:rFonts w:ascii="標楷體" w:eastAsia="標楷體" w:hAnsi="標楷體"/>
          <w:spacing w:val="-4"/>
          <w:sz w:val="28"/>
        </w:rPr>
      </w:pPr>
      <w:r>
        <w:rPr>
          <w:rFonts w:ascii="標楷體" w:eastAsia="標楷體" w:hAnsi="標楷體"/>
          <w:spacing w:val="-4"/>
          <w:sz w:val="28"/>
        </w:rPr>
        <w:t>＊聯絡電話：</w:t>
      </w:r>
      <w:r>
        <w:rPr>
          <w:rFonts w:ascii="標楷體" w:eastAsia="標楷體" w:hAnsi="標楷體"/>
          <w:spacing w:val="-4"/>
          <w:sz w:val="28"/>
        </w:rPr>
        <w:t>04-26352411#1142</w:t>
      </w:r>
    </w:p>
    <w:p w:rsidR="00230FBC" w:rsidRDefault="007E2A2C">
      <w:pPr>
        <w:spacing w:line="400" w:lineRule="exact"/>
        <w:ind w:left="480"/>
        <w:rPr>
          <w:rFonts w:ascii="標楷體" w:eastAsia="標楷體" w:hAnsi="標楷體"/>
          <w:spacing w:val="-4"/>
          <w:sz w:val="28"/>
        </w:rPr>
      </w:pPr>
      <w:r>
        <w:rPr>
          <w:rFonts w:ascii="標楷體" w:eastAsia="標楷體" w:hAnsi="標楷體"/>
          <w:spacing w:val="-4"/>
          <w:sz w:val="28"/>
        </w:rPr>
        <w:t>＊傳真：</w:t>
      </w:r>
      <w:r>
        <w:rPr>
          <w:rFonts w:ascii="標楷體" w:eastAsia="標楷體" w:hAnsi="標楷體"/>
          <w:spacing w:val="-4"/>
          <w:sz w:val="28"/>
        </w:rPr>
        <w:t>04-26354222</w:t>
      </w:r>
    </w:p>
    <w:p w:rsidR="00230FBC" w:rsidRDefault="007E2A2C">
      <w:pPr>
        <w:spacing w:line="400" w:lineRule="exact"/>
        <w:ind w:left="480"/>
        <w:rPr>
          <w:rFonts w:ascii="標楷體" w:eastAsia="標楷體" w:hAnsi="標楷體"/>
          <w:spacing w:val="-4"/>
          <w:sz w:val="28"/>
        </w:rPr>
      </w:pPr>
      <w:r>
        <w:rPr>
          <w:rFonts w:ascii="標楷體" w:eastAsia="標楷體" w:hAnsi="標楷體"/>
          <w:spacing w:val="-4"/>
          <w:sz w:val="28"/>
        </w:rPr>
        <w:t>＊電子信箱：</w:t>
      </w:r>
      <w:r>
        <w:rPr>
          <w:rFonts w:ascii="標楷體" w:eastAsia="標楷體" w:hAnsi="標楷體"/>
          <w:spacing w:val="-4"/>
          <w:sz w:val="28"/>
        </w:rPr>
        <w:t>r208@taichung.gov.tw</w:t>
      </w:r>
    </w:p>
    <w:p w:rsidR="00230FBC" w:rsidRDefault="007E2A2C">
      <w:pPr>
        <w:spacing w:line="400" w:lineRule="exact"/>
        <w:ind w:left="-14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二、發布形式</w:t>
      </w:r>
    </w:p>
    <w:p w:rsidR="00230FBC" w:rsidRDefault="007E2A2C">
      <w:pPr>
        <w:spacing w:line="400" w:lineRule="exact"/>
        <w:ind w:left="76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＊口頭：（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>）記者會或說明會</w:t>
      </w:r>
    </w:p>
    <w:p w:rsidR="00230FBC" w:rsidRDefault="007E2A2C">
      <w:pPr>
        <w:spacing w:line="400" w:lineRule="exact"/>
        <w:ind w:left="76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＊書面：（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>）新聞稿</w:t>
      </w:r>
      <w:r>
        <w:rPr>
          <w:rFonts w:ascii="Times New Roman" w:eastAsia="標楷體" w:hAnsi="Times New Roman"/>
          <w:sz w:val="28"/>
          <w:szCs w:val="28"/>
        </w:rPr>
        <w:t xml:space="preserve">   </w:t>
      </w:r>
      <w:r>
        <w:rPr>
          <w:rFonts w:ascii="Times New Roman" w:eastAsia="標楷體" w:hAnsi="Times New Roman"/>
          <w:sz w:val="28"/>
          <w:szCs w:val="28"/>
        </w:rPr>
        <w:t>（</w:t>
      </w:r>
      <w:r>
        <w:rPr>
          <w:rFonts w:ascii="Times New Roman" w:eastAsia="標楷體" w:hAnsi="Times New Roman"/>
          <w:sz w:val="28"/>
          <w:szCs w:val="28"/>
        </w:rPr>
        <w:t>V</w:t>
      </w:r>
      <w:r>
        <w:rPr>
          <w:rFonts w:ascii="Times New Roman" w:eastAsia="標楷體" w:hAnsi="Times New Roman"/>
          <w:sz w:val="28"/>
          <w:szCs w:val="28"/>
        </w:rPr>
        <w:t>）報表</w:t>
      </w:r>
      <w:r>
        <w:rPr>
          <w:rFonts w:ascii="Times New Roman" w:eastAsia="標楷體" w:hAnsi="Times New Roman"/>
          <w:sz w:val="28"/>
          <w:szCs w:val="28"/>
        </w:rPr>
        <w:t xml:space="preserve">  </w:t>
      </w:r>
      <w:r>
        <w:rPr>
          <w:rFonts w:ascii="Times New Roman" w:eastAsia="標楷體" w:hAnsi="Times New Roman"/>
          <w:sz w:val="28"/>
          <w:szCs w:val="28"/>
        </w:rPr>
        <w:t>（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>）書刊，刊名：</w:t>
      </w:r>
    </w:p>
    <w:p w:rsidR="00230FBC" w:rsidRDefault="007E2A2C">
      <w:pPr>
        <w:spacing w:line="400" w:lineRule="exact"/>
        <w:ind w:left="760" w:hanging="280"/>
      </w:pPr>
      <w:r>
        <w:rPr>
          <w:rFonts w:ascii="Times New Roman" w:eastAsia="標楷體" w:hAnsi="Times New Roman"/>
          <w:sz w:val="28"/>
          <w:szCs w:val="28"/>
        </w:rPr>
        <w:t>＊電子媒體：（</w:t>
      </w:r>
      <w:r>
        <w:rPr>
          <w:rFonts w:ascii="Times New Roman" w:eastAsia="標楷體" w:hAnsi="Times New Roman"/>
          <w:sz w:val="28"/>
          <w:szCs w:val="28"/>
        </w:rPr>
        <w:t>V</w:t>
      </w:r>
      <w:r>
        <w:rPr>
          <w:rFonts w:ascii="Times New Roman" w:eastAsia="標楷體" w:hAnsi="Times New Roman"/>
          <w:sz w:val="28"/>
          <w:szCs w:val="28"/>
        </w:rPr>
        <w:t>）線上書刊及資料庫，</w:t>
      </w:r>
      <w:r>
        <w:rPr>
          <w:rFonts w:ascii="Times New Roman" w:eastAsia="標楷體" w:hAnsi="Times New Roman"/>
          <w:color w:val="000000"/>
          <w:sz w:val="28"/>
          <w:szCs w:val="28"/>
        </w:rPr>
        <w:t>網址：</w:t>
      </w:r>
      <w:r>
        <w:rPr>
          <w:rFonts w:ascii="Times New Roman" w:eastAsia="標楷體" w:hAnsi="Times New Roman"/>
          <w:color w:val="000000"/>
          <w:sz w:val="28"/>
          <w:szCs w:val="28"/>
        </w:rPr>
        <w:t>http://govstat.taichung.gov.tw/TCSTAT/Page/kcg01_2.aspx?Mid1=387740000A</w:t>
      </w:r>
      <w:r>
        <w:t xml:space="preserve">                         </w:t>
      </w:r>
    </w:p>
    <w:p w:rsidR="00230FBC" w:rsidRDefault="007E2A2C">
      <w:pPr>
        <w:spacing w:line="400" w:lineRule="exact"/>
        <w:ind w:left="192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（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/>
          <w:color w:val="000000"/>
          <w:sz w:val="28"/>
          <w:szCs w:val="28"/>
        </w:rPr>
        <w:t>）磁片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  </w:t>
      </w:r>
      <w:r>
        <w:rPr>
          <w:rFonts w:ascii="Times New Roman" w:eastAsia="標楷體" w:hAnsi="Times New Roman"/>
          <w:color w:val="000000"/>
          <w:sz w:val="28"/>
          <w:szCs w:val="28"/>
        </w:rPr>
        <w:t>（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/>
          <w:color w:val="000000"/>
          <w:sz w:val="28"/>
          <w:szCs w:val="28"/>
        </w:rPr>
        <w:t>）光碟片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 </w:t>
      </w:r>
      <w:r>
        <w:rPr>
          <w:rFonts w:ascii="Times New Roman" w:eastAsia="標楷體" w:hAnsi="Times New Roman"/>
          <w:color w:val="000000"/>
          <w:sz w:val="28"/>
          <w:szCs w:val="28"/>
        </w:rPr>
        <w:t>（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/>
          <w:color w:val="000000"/>
          <w:sz w:val="28"/>
          <w:szCs w:val="28"/>
        </w:rPr>
        <w:t>）其他</w:t>
      </w:r>
    </w:p>
    <w:p w:rsidR="00230FBC" w:rsidRDefault="007E2A2C">
      <w:pPr>
        <w:spacing w:line="400" w:lineRule="exact"/>
        <w:ind w:left="56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三、資料範圍、週期及時效</w:t>
      </w:r>
    </w:p>
    <w:p w:rsidR="00230FBC" w:rsidRDefault="007E2A2C">
      <w:pPr>
        <w:spacing w:line="400" w:lineRule="exact"/>
        <w:ind w:left="76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＊統計地區範圍及對象：凡在本區境內訂有三七五租約之土地，均為統計之對象。</w:t>
      </w:r>
    </w:p>
    <w:p w:rsidR="00230FBC" w:rsidRDefault="007E2A2C">
      <w:pPr>
        <w:spacing w:line="400" w:lineRule="exact"/>
        <w:ind w:left="76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＊統計標準時間：靜態資料以每年</w:t>
      </w:r>
      <w:r>
        <w:rPr>
          <w:rFonts w:ascii="Times New Roman" w:eastAsia="標楷體" w:hAnsi="Times New Roman"/>
          <w:sz w:val="28"/>
          <w:szCs w:val="28"/>
        </w:rPr>
        <w:t>12</w:t>
      </w:r>
      <w:r>
        <w:rPr>
          <w:rFonts w:ascii="Times New Roman" w:eastAsia="標楷體" w:hAnsi="Times New Roman"/>
          <w:sz w:val="28"/>
          <w:szCs w:val="28"/>
        </w:rPr>
        <w:t>月底之事實為準，動態資料以每年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日至</w:t>
      </w:r>
      <w:r>
        <w:rPr>
          <w:rFonts w:ascii="Times New Roman" w:eastAsia="標楷體" w:hAnsi="Times New Roman"/>
          <w:sz w:val="28"/>
          <w:szCs w:val="28"/>
        </w:rPr>
        <w:t>12</w:t>
      </w:r>
      <w:r>
        <w:rPr>
          <w:rFonts w:ascii="Times New Roman" w:eastAsia="標楷體" w:hAnsi="Times New Roman"/>
          <w:sz w:val="28"/>
          <w:szCs w:val="28"/>
        </w:rPr>
        <w:t>月底之事實為準。</w:t>
      </w:r>
    </w:p>
    <w:p w:rsidR="00230FBC" w:rsidRDefault="007E2A2C">
      <w:pPr>
        <w:spacing w:line="400" w:lineRule="exact"/>
        <w:ind w:left="76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＊統計項目定義：</w:t>
      </w:r>
    </w:p>
    <w:p w:rsidR="00230FBC" w:rsidRDefault="007E2A2C">
      <w:pPr>
        <w:spacing w:line="400" w:lineRule="exact"/>
        <w:ind w:left="1380" w:hanging="420"/>
      </w:pP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一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承租人</w:t>
      </w:r>
      <w:r>
        <w:rPr>
          <w:rFonts w:ascii="標楷體" w:eastAsia="標楷體" w:hAnsi="標楷體"/>
          <w:color w:val="000000"/>
          <w:sz w:val="28"/>
          <w:szCs w:val="28"/>
        </w:rPr>
        <w:t>:</w:t>
      </w:r>
      <w:r>
        <w:rPr>
          <w:rFonts w:ascii="標楷體" w:eastAsia="標楷體" w:hAnsi="標楷體"/>
          <w:color w:val="000000"/>
          <w:sz w:val="28"/>
          <w:szCs w:val="28"/>
        </w:rPr>
        <w:t>向出租人承租田地以為耕種之承耕者。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</w:p>
    <w:p w:rsidR="00230FBC" w:rsidRDefault="007E2A2C">
      <w:pPr>
        <w:spacing w:line="400" w:lineRule="exact"/>
        <w:ind w:left="1380" w:hanging="420"/>
      </w:pPr>
      <w:r>
        <w:rPr>
          <w:rFonts w:ascii="Times New Roman" w:eastAsia="標楷體" w:hAnsi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</w:rPr>
        <w:t>二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出租人</w:t>
      </w:r>
      <w:r>
        <w:rPr>
          <w:rFonts w:ascii="標楷體" w:eastAsia="標楷體" w:hAnsi="標楷體"/>
          <w:color w:val="000000"/>
          <w:sz w:val="28"/>
          <w:szCs w:val="28"/>
        </w:rPr>
        <w:t>:</w:t>
      </w:r>
      <w:r>
        <w:rPr>
          <w:rFonts w:ascii="標楷體" w:eastAsia="標楷體" w:hAnsi="標楷體"/>
          <w:color w:val="000000"/>
          <w:sz w:val="28"/>
          <w:szCs w:val="28"/>
        </w:rPr>
        <w:t>土地所有權人。</w:t>
      </w:r>
    </w:p>
    <w:p w:rsidR="00230FBC" w:rsidRDefault="007E2A2C">
      <w:pPr>
        <w:spacing w:line="400" w:lineRule="exact"/>
        <w:ind w:left="1380" w:hanging="420"/>
      </w:pPr>
      <w:r>
        <w:rPr>
          <w:rFonts w:ascii="Times New Roman" w:eastAsia="標楷體" w:hAnsi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</w:rPr>
        <w:t>三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) </w:t>
      </w:r>
      <w:r>
        <w:rPr>
          <w:rFonts w:ascii="Times New Roman" w:eastAsia="標楷體" w:hAnsi="Times New Roman"/>
          <w:color w:val="000000"/>
          <w:sz w:val="28"/>
          <w:szCs w:val="28"/>
        </w:rPr>
        <w:t>面積均以公頃為單位，至小數點以下</w:t>
      </w:r>
      <w:r>
        <w:rPr>
          <w:rFonts w:ascii="標楷體" w:eastAsia="標楷體" w:hAnsi="標楷體"/>
          <w:color w:val="000000"/>
        </w:rPr>
        <w:t>4</w:t>
      </w:r>
      <w:r>
        <w:rPr>
          <w:rFonts w:ascii="Times New Roman" w:eastAsia="標楷體" w:hAnsi="Times New Roman"/>
          <w:color w:val="000000"/>
          <w:sz w:val="28"/>
          <w:szCs w:val="28"/>
        </w:rPr>
        <w:t>位數。</w:t>
      </w:r>
    </w:p>
    <w:p w:rsidR="00230FBC" w:rsidRDefault="007E2A2C">
      <w:pPr>
        <w:spacing w:line="400" w:lineRule="exact"/>
        <w:ind w:left="1380" w:hanging="42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</w:rPr>
        <w:t>四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) </w:t>
      </w:r>
      <w:r>
        <w:rPr>
          <w:rFonts w:ascii="Times New Roman" w:eastAsia="標楷體" w:hAnsi="Times New Roman"/>
          <w:color w:val="000000"/>
          <w:sz w:val="28"/>
          <w:szCs w:val="28"/>
        </w:rPr>
        <w:t>增加原因計有：</w:t>
      </w:r>
      <w:r>
        <w:rPr>
          <w:rFonts w:ascii="Times New Roman" w:eastAsia="標楷體" w:hAnsi="Times New Roman"/>
          <w:color w:val="000000"/>
          <w:sz w:val="28"/>
          <w:szCs w:val="28"/>
        </w:rPr>
        <w:t>(1)</w:t>
      </w:r>
      <w:r>
        <w:rPr>
          <w:rFonts w:ascii="Times New Roman" w:eastAsia="標楷體" w:hAnsi="Times New Roman"/>
          <w:color w:val="000000"/>
          <w:sz w:val="28"/>
          <w:szCs w:val="28"/>
        </w:rPr>
        <w:t>新訂租約、</w:t>
      </w:r>
      <w:r>
        <w:rPr>
          <w:rFonts w:ascii="Times New Roman" w:eastAsia="標楷體" w:hAnsi="Times New Roman"/>
          <w:color w:val="000000"/>
          <w:sz w:val="28"/>
          <w:szCs w:val="28"/>
        </w:rPr>
        <w:t>(2)</w:t>
      </w:r>
      <w:r>
        <w:rPr>
          <w:rFonts w:ascii="Times New Roman" w:eastAsia="標楷體" w:hAnsi="Times New Roman"/>
          <w:color w:val="000000"/>
          <w:sz w:val="28"/>
          <w:szCs w:val="28"/>
        </w:rPr>
        <w:t>租約變更、</w:t>
      </w:r>
      <w:r>
        <w:rPr>
          <w:rFonts w:ascii="Times New Roman" w:eastAsia="標楷體" w:hAnsi="Times New Roman"/>
          <w:color w:val="000000"/>
          <w:sz w:val="28"/>
          <w:szCs w:val="28"/>
        </w:rPr>
        <w:t>(3)</w:t>
      </w:r>
      <w:r>
        <w:rPr>
          <w:rFonts w:ascii="Times New Roman" w:eastAsia="標楷體" w:hAnsi="Times New Roman"/>
          <w:color w:val="000000"/>
          <w:sz w:val="28"/>
          <w:szCs w:val="28"/>
        </w:rPr>
        <w:t>分</w:t>
      </w:r>
      <w:r>
        <w:rPr>
          <w:rFonts w:ascii="Times New Roman" w:eastAsia="標楷體" w:hAnsi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</w:rPr>
        <w:t>補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訂租約、</w:t>
      </w:r>
      <w:r>
        <w:rPr>
          <w:rFonts w:ascii="Times New Roman" w:eastAsia="標楷體" w:hAnsi="Times New Roman"/>
          <w:color w:val="000000"/>
          <w:sz w:val="28"/>
          <w:szCs w:val="28"/>
        </w:rPr>
        <w:t>(4)</w:t>
      </w:r>
      <w:r>
        <w:rPr>
          <w:rFonts w:ascii="Times New Roman" w:eastAsia="標楷體" w:hAnsi="Times New Roman"/>
          <w:color w:val="000000"/>
          <w:sz w:val="28"/>
          <w:szCs w:val="28"/>
        </w:rPr>
        <w:t>農</w:t>
      </w:r>
      <w:r>
        <w:rPr>
          <w:rFonts w:ascii="Times New Roman" w:eastAsia="標楷體" w:hAnsi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</w:rPr>
        <w:t>市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地重劃變更、</w:t>
      </w:r>
      <w:r>
        <w:rPr>
          <w:rFonts w:ascii="Times New Roman" w:eastAsia="標楷體" w:hAnsi="Times New Roman"/>
          <w:color w:val="000000"/>
          <w:sz w:val="28"/>
          <w:szCs w:val="28"/>
        </w:rPr>
        <w:t>(5)</w:t>
      </w:r>
      <w:r>
        <w:rPr>
          <w:rFonts w:ascii="Times New Roman" w:eastAsia="標楷體" w:hAnsi="Times New Roman"/>
          <w:color w:val="000000"/>
          <w:sz w:val="28"/>
          <w:szCs w:val="28"/>
        </w:rPr>
        <w:t>更正、</w:t>
      </w:r>
      <w:r>
        <w:rPr>
          <w:rFonts w:ascii="Times New Roman" w:eastAsia="標楷體" w:hAnsi="Times New Roman"/>
          <w:color w:val="000000"/>
          <w:sz w:val="28"/>
          <w:szCs w:val="28"/>
        </w:rPr>
        <w:t>(6)</w:t>
      </w:r>
      <w:r>
        <w:rPr>
          <w:rFonts w:ascii="Times New Roman" w:eastAsia="標楷體" w:hAnsi="Times New Roman"/>
          <w:color w:val="000000"/>
          <w:sz w:val="28"/>
          <w:szCs w:val="28"/>
        </w:rPr>
        <w:t>其他。</w:t>
      </w:r>
    </w:p>
    <w:p w:rsidR="00230FBC" w:rsidRDefault="007E2A2C">
      <w:pPr>
        <w:spacing w:line="400" w:lineRule="exact"/>
        <w:ind w:left="1380" w:hanging="420"/>
      </w:pPr>
      <w:r>
        <w:rPr>
          <w:rFonts w:ascii="Times New Roman" w:eastAsia="標楷體" w:hAnsi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</w:rPr>
        <w:t>五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) </w:t>
      </w:r>
      <w:r>
        <w:rPr>
          <w:rFonts w:ascii="Times New Roman" w:eastAsia="標楷體" w:hAnsi="Times New Roman"/>
          <w:color w:val="000000"/>
          <w:sz w:val="28"/>
          <w:szCs w:val="28"/>
        </w:rPr>
        <w:t>減少原因計有：</w:t>
      </w:r>
      <w:r>
        <w:rPr>
          <w:rFonts w:ascii="Times New Roman" w:eastAsia="標楷體" w:hAnsi="Times New Roman"/>
          <w:color w:val="000000"/>
          <w:sz w:val="28"/>
          <w:szCs w:val="28"/>
        </w:rPr>
        <w:t>(1)</w:t>
      </w:r>
      <w:r>
        <w:rPr>
          <w:rFonts w:ascii="標楷體" w:eastAsia="標楷體" w:hAnsi="標楷體"/>
          <w:color w:val="000000"/>
          <w:sz w:val="28"/>
          <w:szCs w:val="28"/>
        </w:rPr>
        <w:t>承租人承買</w:t>
      </w:r>
      <w:r>
        <w:rPr>
          <w:rFonts w:ascii="Times New Roman" w:eastAsia="標楷體" w:hAnsi="Times New Roman"/>
          <w:color w:val="000000"/>
          <w:sz w:val="28"/>
          <w:szCs w:val="28"/>
        </w:rPr>
        <w:t>、</w:t>
      </w:r>
      <w:r>
        <w:rPr>
          <w:rFonts w:ascii="Times New Roman" w:eastAsia="標楷體" w:hAnsi="Times New Roman"/>
          <w:color w:val="000000"/>
          <w:sz w:val="28"/>
          <w:szCs w:val="28"/>
        </w:rPr>
        <w:t>(2)</w:t>
      </w:r>
      <w:r>
        <w:rPr>
          <w:rFonts w:ascii="Times New Roman" w:eastAsia="標楷體" w:hAnsi="Times New Roman"/>
          <w:color w:val="000000"/>
          <w:sz w:val="28"/>
          <w:szCs w:val="28"/>
        </w:rPr>
        <w:t>收回變更使用、</w:t>
      </w:r>
      <w:r>
        <w:rPr>
          <w:rFonts w:ascii="Times New Roman" w:eastAsia="標楷體" w:hAnsi="Times New Roman"/>
          <w:color w:val="000000"/>
          <w:sz w:val="28"/>
          <w:szCs w:val="28"/>
        </w:rPr>
        <w:t>(3)</w:t>
      </w:r>
      <w:r>
        <w:rPr>
          <w:rFonts w:ascii="Times New Roman" w:eastAsia="標楷體" w:hAnsi="Times New Roman"/>
          <w:color w:val="000000"/>
          <w:sz w:val="28"/>
          <w:szCs w:val="28"/>
        </w:rPr>
        <w:t>軍公徵收及公共設施使用、</w:t>
      </w:r>
      <w:r>
        <w:rPr>
          <w:rFonts w:ascii="Times New Roman" w:eastAsia="標楷體" w:hAnsi="Times New Roman"/>
          <w:color w:val="000000"/>
          <w:sz w:val="28"/>
          <w:szCs w:val="28"/>
        </w:rPr>
        <w:t>(4)</w:t>
      </w:r>
      <w:r>
        <w:rPr>
          <w:rFonts w:ascii="Times New Roman" w:eastAsia="標楷體" w:hAnsi="Times New Roman"/>
          <w:color w:val="000000"/>
          <w:sz w:val="28"/>
          <w:szCs w:val="28"/>
        </w:rPr>
        <w:t>租約變更、</w:t>
      </w:r>
      <w:r>
        <w:rPr>
          <w:rFonts w:ascii="Times New Roman" w:eastAsia="標楷體" w:hAnsi="Times New Roman"/>
          <w:color w:val="000000"/>
          <w:sz w:val="28"/>
          <w:szCs w:val="28"/>
        </w:rPr>
        <w:t>(5)</w:t>
      </w:r>
      <w:r>
        <w:rPr>
          <w:rFonts w:ascii="Times New Roman" w:eastAsia="標楷體" w:hAnsi="Times New Roman"/>
          <w:color w:val="000000"/>
          <w:sz w:val="28"/>
          <w:szCs w:val="28"/>
        </w:rPr>
        <w:t>收回自耕、</w:t>
      </w:r>
      <w:r>
        <w:rPr>
          <w:rFonts w:ascii="Times New Roman" w:eastAsia="標楷體" w:hAnsi="Times New Roman"/>
          <w:color w:val="000000"/>
          <w:sz w:val="28"/>
          <w:szCs w:val="28"/>
        </w:rPr>
        <w:t>(6)</w:t>
      </w:r>
      <w:r>
        <w:rPr>
          <w:rFonts w:ascii="Times New Roman" w:eastAsia="標楷體" w:hAnsi="Times New Roman"/>
          <w:color w:val="000000"/>
          <w:sz w:val="28"/>
          <w:szCs w:val="28"/>
        </w:rPr>
        <w:t>終止</w:t>
      </w:r>
      <w:r>
        <w:rPr>
          <w:rFonts w:ascii="Times New Roman" w:eastAsia="標楷體" w:hAnsi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</w:rPr>
        <w:t>註銷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租約、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(7) </w:t>
      </w:r>
      <w:r>
        <w:rPr>
          <w:rFonts w:ascii="Times New Roman" w:eastAsia="標楷體" w:hAnsi="Times New Roman"/>
          <w:color w:val="000000"/>
          <w:sz w:val="28"/>
          <w:szCs w:val="28"/>
        </w:rPr>
        <w:t>農</w:t>
      </w:r>
      <w:r>
        <w:rPr>
          <w:rFonts w:ascii="Times New Roman" w:eastAsia="標楷體" w:hAnsi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</w:rPr>
        <w:t>市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地重劃變更、</w:t>
      </w:r>
      <w:r>
        <w:rPr>
          <w:rFonts w:ascii="Times New Roman" w:eastAsia="標楷體" w:hAnsi="Times New Roman"/>
          <w:color w:val="000000"/>
          <w:sz w:val="28"/>
          <w:szCs w:val="28"/>
        </w:rPr>
        <w:t>(8)</w:t>
      </w:r>
      <w:r>
        <w:rPr>
          <w:rFonts w:ascii="Times New Roman" w:eastAsia="標楷體" w:hAnsi="Times New Roman"/>
          <w:color w:val="000000"/>
          <w:sz w:val="28"/>
          <w:szCs w:val="28"/>
        </w:rPr>
        <w:t>權屬變更、</w:t>
      </w:r>
      <w:r>
        <w:rPr>
          <w:rFonts w:ascii="Times New Roman" w:eastAsia="標楷體" w:hAnsi="Times New Roman"/>
          <w:color w:val="000000"/>
          <w:sz w:val="28"/>
          <w:szCs w:val="28"/>
        </w:rPr>
        <w:t>(9)</w:t>
      </w:r>
      <w:r>
        <w:rPr>
          <w:rFonts w:ascii="Times New Roman" w:eastAsia="標楷體" w:hAnsi="Times New Roman"/>
          <w:color w:val="000000"/>
          <w:sz w:val="28"/>
          <w:szCs w:val="28"/>
        </w:rPr>
        <w:t>更正、</w:t>
      </w:r>
      <w:r>
        <w:rPr>
          <w:rFonts w:ascii="Times New Roman" w:eastAsia="標楷體" w:hAnsi="Times New Roman"/>
          <w:color w:val="000000"/>
          <w:sz w:val="28"/>
          <w:szCs w:val="28"/>
        </w:rPr>
        <w:t>(10)</w:t>
      </w:r>
      <w:r>
        <w:rPr>
          <w:rFonts w:ascii="Times New Roman" w:eastAsia="標楷體" w:hAnsi="Times New Roman"/>
          <w:color w:val="000000"/>
          <w:sz w:val="28"/>
          <w:szCs w:val="28"/>
        </w:rPr>
        <w:t>其他。</w:t>
      </w:r>
    </w:p>
    <w:p w:rsidR="00230FBC" w:rsidRDefault="007E2A2C">
      <w:pPr>
        <w:spacing w:line="400" w:lineRule="exact"/>
        <w:ind w:left="760" w:hanging="28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＊統計單位：人、筆、件、公頃。</w:t>
      </w:r>
    </w:p>
    <w:p w:rsidR="00230FBC" w:rsidRDefault="007E2A2C">
      <w:pPr>
        <w:spacing w:line="400" w:lineRule="exact"/>
        <w:ind w:left="760" w:hanging="280"/>
      </w:pPr>
      <w:r>
        <w:rPr>
          <w:rFonts w:ascii="Times New Roman" w:eastAsia="標楷體" w:hAnsi="Times New Roman"/>
          <w:color w:val="000000"/>
          <w:sz w:val="28"/>
          <w:szCs w:val="28"/>
        </w:rPr>
        <w:t>＊統計分類：按增減原因、</w:t>
      </w:r>
      <w:r>
        <w:rPr>
          <w:rFonts w:ascii="標楷體" w:eastAsia="標楷體" w:hAnsi="標楷體"/>
          <w:color w:val="000000"/>
          <w:sz w:val="28"/>
          <w:szCs w:val="28"/>
        </w:rPr>
        <w:t>承租人人數、出租人人數</w:t>
      </w:r>
      <w:r>
        <w:rPr>
          <w:rFonts w:ascii="Times New Roman" w:eastAsia="標楷體" w:hAnsi="Times New Roman"/>
          <w:color w:val="000000"/>
          <w:sz w:val="28"/>
          <w:szCs w:val="28"/>
        </w:rPr>
        <w:t>、土地筆數、租約件數及租約面積分。</w:t>
      </w:r>
    </w:p>
    <w:p w:rsidR="00230FBC" w:rsidRDefault="007E2A2C">
      <w:pPr>
        <w:spacing w:line="400" w:lineRule="exact"/>
        <w:ind w:left="760" w:hanging="28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＊發布週期：年。</w:t>
      </w:r>
    </w:p>
    <w:p w:rsidR="00230FBC" w:rsidRDefault="007E2A2C">
      <w:pPr>
        <w:spacing w:line="400" w:lineRule="exact"/>
        <w:ind w:left="760" w:hanging="28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＊時效：</w:t>
      </w:r>
      <w:r>
        <w:rPr>
          <w:rFonts w:ascii="Times New Roman" w:eastAsia="標楷體" w:hAnsi="Times New Roman"/>
          <w:color w:val="000000"/>
          <w:sz w:val="28"/>
          <w:szCs w:val="28"/>
        </w:rPr>
        <w:t>15</w:t>
      </w:r>
      <w:r>
        <w:rPr>
          <w:rFonts w:ascii="Times New Roman" w:eastAsia="標楷體" w:hAnsi="Times New Roman"/>
          <w:color w:val="000000"/>
          <w:sz w:val="28"/>
          <w:szCs w:val="28"/>
        </w:rPr>
        <w:t>日。</w:t>
      </w:r>
    </w:p>
    <w:p w:rsidR="00230FBC" w:rsidRDefault="007E2A2C">
      <w:pPr>
        <w:spacing w:line="400" w:lineRule="exact"/>
        <w:ind w:left="760" w:hanging="28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lastRenderedPageBreak/>
        <w:t>＊資料變革：無。</w:t>
      </w:r>
    </w:p>
    <w:p w:rsidR="00230FBC" w:rsidRDefault="007E2A2C">
      <w:pPr>
        <w:spacing w:line="400" w:lineRule="exact"/>
        <w:ind w:left="560" w:hanging="56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四、公開資料發布訊息</w:t>
      </w:r>
    </w:p>
    <w:p w:rsidR="00230FBC" w:rsidRDefault="007E2A2C">
      <w:pPr>
        <w:spacing w:line="400" w:lineRule="exact"/>
        <w:ind w:left="760" w:hanging="280"/>
      </w:pPr>
      <w:r>
        <w:rPr>
          <w:rFonts w:ascii="Times New Roman" w:eastAsia="標楷體" w:hAnsi="Times New Roman"/>
          <w:color w:val="000000"/>
          <w:sz w:val="28"/>
          <w:szCs w:val="28"/>
        </w:rPr>
        <w:t>＊預告發布日期：每年終了</w:t>
      </w:r>
      <w:r>
        <w:rPr>
          <w:rFonts w:ascii="Times New Roman" w:eastAsia="標楷體" w:hAnsi="Times New Roman"/>
          <w:color w:val="000000"/>
          <w:sz w:val="28"/>
          <w:szCs w:val="28"/>
        </w:rPr>
        <w:t>15</w:t>
      </w:r>
      <w:r>
        <w:rPr>
          <w:rFonts w:ascii="Times New Roman" w:eastAsia="標楷體" w:hAnsi="Times New Roman"/>
          <w:color w:val="000000"/>
          <w:sz w:val="28"/>
          <w:szCs w:val="28"/>
        </w:rPr>
        <w:t>日</w:t>
      </w:r>
      <w:r>
        <w:rPr>
          <w:rFonts w:eastAsia="標楷體"/>
          <w:color w:val="000000"/>
          <w:sz w:val="28"/>
        </w:rPr>
        <w:t>(</w:t>
      </w:r>
      <w:r>
        <w:rPr>
          <w:rFonts w:eastAsia="標楷體"/>
          <w:color w:val="000000"/>
          <w:sz w:val="28"/>
        </w:rPr>
        <w:t>原訂預告發布日期如遇例假日或國定假日則延至下一個工作日發布</w:t>
      </w:r>
      <w:r>
        <w:rPr>
          <w:rFonts w:eastAsia="標楷體"/>
          <w:color w:val="000000"/>
          <w:sz w:val="28"/>
        </w:rPr>
        <w:t>)</w:t>
      </w:r>
    </w:p>
    <w:p w:rsidR="00230FBC" w:rsidRDefault="007E2A2C">
      <w:pPr>
        <w:spacing w:line="400" w:lineRule="exact"/>
        <w:ind w:left="760" w:hanging="280"/>
      </w:pPr>
      <w:r>
        <w:rPr>
          <w:rFonts w:ascii="Times New Roman" w:eastAsia="標楷體" w:hAnsi="Times New Roman"/>
          <w:color w:val="000000"/>
          <w:sz w:val="28"/>
          <w:szCs w:val="28"/>
        </w:rPr>
        <w:t>＊同步發送單位：</w:t>
      </w:r>
      <w:r>
        <w:rPr>
          <w:rFonts w:ascii="標楷體" w:eastAsia="標楷體" w:hAnsi="標楷體"/>
          <w:color w:val="000000"/>
          <w:sz w:val="28"/>
          <w:szCs w:val="28"/>
        </w:rPr>
        <w:t>臺中市政府主計處。</w:t>
      </w:r>
    </w:p>
    <w:p w:rsidR="00230FBC" w:rsidRDefault="007E2A2C">
      <w:pPr>
        <w:spacing w:line="400" w:lineRule="exact"/>
        <w:ind w:left="560" w:hanging="56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五、資料品質</w:t>
      </w:r>
    </w:p>
    <w:p w:rsidR="00230FBC" w:rsidRDefault="007E2A2C">
      <w:pPr>
        <w:spacing w:line="400" w:lineRule="exact"/>
        <w:ind w:left="760" w:hanging="280"/>
      </w:pPr>
      <w:r>
        <w:rPr>
          <w:rFonts w:ascii="Times New Roman" w:eastAsia="標楷體" w:hAnsi="Times New Roman"/>
          <w:color w:val="000000"/>
          <w:sz w:val="28"/>
          <w:szCs w:val="28"/>
        </w:rPr>
        <w:t>＊統計指標編製方法與資料來源說明：</w:t>
      </w:r>
      <w:r>
        <w:rPr>
          <w:rFonts w:ascii="標楷體" w:eastAsia="標楷體" w:hAnsi="標楷體"/>
          <w:color w:val="000000"/>
          <w:sz w:val="28"/>
        </w:rPr>
        <w:t>本所農業課依據三七五減租登記簿編製。</w:t>
      </w:r>
    </w:p>
    <w:p w:rsidR="00230FBC" w:rsidRDefault="007E2A2C">
      <w:pPr>
        <w:spacing w:line="400" w:lineRule="exact"/>
        <w:ind w:left="760" w:hanging="28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＊統計資料交叉查核及確保資料合理性之機制：紙本紀錄與資訊檔案交叉查核。</w:t>
      </w:r>
    </w:p>
    <w:p w:rsidR="00230FBC" w:rsidRDefault="007E2A2C">
      <w:pPr>
        <w:spacing w:line="400" w:lineRule="exact"/>
        <w:ind w:left="560" w:hanging="56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六、須注意及預定改變之事項：表號：</w:t>
      </w:r>
      <w:r>
        <w:rPr>
          <w:rFonts w:ascii="Times New Roman" w:eastAsia="標楷體" w:hAnsi="Times New Roman"/>
          <w:color w:val="000000"/>
          <w:sz w:val="28"/>
          <w:szCs w:val="28"/>
        </w:rPr>
        <w:t>11242-02-06-3</w:t>
      </w:r>
      <w:r>
        <w:rPr>
          <w:rFonts w:ascii="Times New Roman" w:eastAsia="標楷體" w:hAnsi="Times New Roman"/>
          <w:color w:val="000000"/>
          <w:sz w:val="28"/>
          <w:szCs w:val="28"/>
        </w:rPr>
        <w:t>。</w:t>
      </w:r>
    </w:p>
    <w:p w:rsidR="00230FBC" w:rsidRDefault="007E2A2C">
      <w:pPr>
        <w:spacing w:line="400" w:lineRule="exact"/>
        <w:ind w:left="560" w:hanging="560"/>
      </w:pPr>
      <w:r>
        <w:rPr>
          <w:rFonts w:ascii="Times New Roman" w:eastAsia="標楷體" w:hAnsi="Times New Roman"/>
          <w:color w:val="000000"/>
          <w:sz w:val="28"/>
          <w:szCs w:val="28"/>
        </w:rPr>
        <w:t>七、其他事項：無。</w:t>
      </w:r>
    </w:p>
    <w:sectPr w:rsidR="00230FBC">
      <w:pgSz w:w="11906" w:h="16838"/>
      <w:pgMar w:top="1440" w:right="849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2A2C">
      <w:r>
        <w:separator/>
      </w:r>
    </w:p>
  </w:endnote>
  <w:endnote w:type="continuationSeparator" w:id="0">
    <w:p w:rsidR="00000000" w:rsidRDefault="007E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2A2C">
      <w:r>
        <w:rPr>
          <w:color w:val="000000"/>
        </w:rPr>
        <w:separator/>
      </w:r>
    </w:p>
  </w:footnote>
  <w:footnote w:type="continuationSeparator" w:id="0">
    <w:p w:rsidR="00000000" w:rsidRDefault="007E2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30FBC"/>
    <w:rsid w:val="00230FBC"/>
    <w:rsid w:val="007E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未解析的提及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未解析的提及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Company>tccg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subject/>
  <dc:creator>PCLee</dc:creator>
  <cp:lastModifiedBy>cws</cp:lastModifiedBy>
  <cp:revision>2</cp:revision>
  <dcterms:created xsi:type="dcterms:W3CDTF">2022-09-15T01:44:00Z</dcterms:created>
  <dcterms:modified xsi:type="dcterms:W3CDTF">2022-09-15T01:44:00Z</dcterms:modified>
</cp:coreProperties>
</file>