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CA1" w:rsidRDefault="00515AFC">
      <w:pPr>
        <w:jc w:val="center"/>
        <w:rPr>
          <w:rFonts w:eastAsia="標楷體"/>
          <w:b/>
          <w:sz w:val="32"/>
          <w:szCs w:val="32"/>
        </w:rPr>
      </w:pPr>
      <w:r>
        <w:rPr>
          <w:rFonts w:eastAsia="標楷體"/>
          <w:b/>
          <w:sz w:val="32"/>
          <w:szCs w:val="32"/>
        </w:rPr>
        <w:t>統計資料背景說明</w:t>
      </w:r>
    </w:p>
    <w:p w:rsidR="00491CA1" w:rsidRDefault="00515AFC">
      <w:pPr>
        <w:rPr>
          <w:rFonts w:ascii="標楷體" w:eastAsia="標楷體" w:hAnsi="標楷體"/>
          <w:szCs w:val="24"/>
        </w:rPr>
      </w:pPr>
      <w:r>
        <w:rPr>
          <w:rFonts w:ascii="標楷體" w:eastAsia="標楷體" w:hAnsi="標楷體"/>
          <w:szCs w:val="24"/>
        </w:rPr>
        <w:t>資料種類：林、礦與生物多樣性統計</w:t>
      </w:r>
    </w:p>
    <w:p w:rsidR="00491CA1" w:rsidRDefault="00515AFC">
      <w:r>
        <w:rPr>
          <w:rFonts w:ascii="標楷體" w:eastAsia="標楷體" w:hAnsi="標楷體"/>
          <w:szCs w:val="24"/>
        </w:rPr>
        <w:t>資料項目：</w:t>
      </w:r>
      <w:r>
        <w:rPr>
          <w:rFonts w:eastAsia="標楷體"/>
          <w:szCs w:val="24"/>
        </w:rPr>
        <w:t>臺中市森林災害報告</w:t>
      </w:r>
    </w:p>
    <w:p w:rsidR="00491CA1" w:rsidRDefault="00515AFC">
      <w:pPr>
        <w:rPr>
          <w:rFonts w:eastAsia="標楷體"/>
        </w:rPr>
      </w:pPr>
      <w:r>
        <w:rPr>
          <w:rFonts w:eastAsia="標楷體"/>
        </w:rPr>
        <w:t xml:space="preserve"> </w:t>
      </w:r>
      <w:r>
        <w:rPr>
          <w:rFonts w:eastAsia="標楷體"/>
        </w:rPr>
        <w:t>一、</w:t>
      </w:r>
      <w:r>
        <w:rPr>
          <w:rFonts w:eastAsia="標楷體"/>
        </w:rPr>
        <w:t xml:space="preserve"> </w:t>
      </w:r>
      <w:r>
        <w:rPr>
          <w:rFonts w:eastAsia="標楷體"/>
        </w:rPr>
        <w:t>發布及編製機關單位</w:t>
      </w:r>
    </w:p>
    <w:p w:rsidR="00491CA1" w:rsidRDefault="00515AFC">
      <w:pPr>
        <w:numPr>
          <w:ilvl w:val="1"/>
          <w:numId w:val="1"/>
        </w:numPr>
        <w:tabs>
          <w:tab w:val="left" w:pos="960"/>
        </w:tabs>
        <w:spacing w:line="0" w:lineRule="atLeast"/>
        <w:ind w:left="964" w:hanging="482"/>
        <w:rPr>
          <w:rFonts w:eastAsia="標楷體"/>
        </w:rPr>
      </w:pPr>
      <w:r>
        <w:rPr>
          <w:rFonts w:eastAsia="標楷體"/>
        </w:rPr>
        <w:t>發布機關：臺中市政府農業局會計室</w:t>
      </w:r>
    </w:p>
    <w:p w:rsidR="00491CA1" w:rsidRDefault="00515AFC">
      <w:pPr>
        <w:numPr>
          <w:ilvl w:val="1"/>
          <w:numId w:val="1"/>
        </w:numPr>
        <w:spacing w:line="0" w:lineRule="atLeast"/>
        <w:rPr>
          <w:rFonts w:eastAsia="標楷體"/>
        </w:rPr>
      </w:pPr>
      <w:r>
        <w:rPr>
          <w:rFonts w:eastAsia="標楷體"/>
        </w:rPr>
        <w:t>編製單位：臺中市政府農業局林務自然保育科</w:t>
      </w:r>
    </w:p>
    <w:p w:rsidR="00491CA1" w:rsidRDefault="00515AFC">
      <w:pPr>
        <w:numPr>
          <w:ilvl w:val="1"/>
          <w:numId w:val="1"/>
        </w:numPr>
        <w:spacing w:line="0" w:lineRule="atLeast"/>
      </w:pPr>
      <w:r>
        <w:rPr>
          <w:rFonts w:eastAsia="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56218</w:t>
      </w:r>
    </w:p>
    <w:p w:rsidR="00491CA1" w:rsidRDefault="00515AFC">
      <w:pPr>
        <w:numPr>
          <w:ilvl w:val="1"/>
          <w:numId w:val="1"/>
        </w:numPr>
        <w:spacing w:line="0" w:lineRule="atLeast"/>
        <w:rPr>
          <w:rFonts w:ascii="標楷體" w:eastAsia="標楷體" w:hAnsi="標楷體"/>
        </w:rPr>
      </w:pPr>
      <w:r>
        <w:rPr>
          <w:rFonts w:ascii="標楷體" w:eastAsia="標楷體" w:hAnsi="標楷體"/>
        </w:rPr>
        <w:t>傳真：</w:t>
      </w:r>
      <w:r>
        <w:rPr>
          <w:rFonts w:ascii="標楷體" w:eastAsia="標楷體" w:hAnsi="標楷體"/>
        </w:rPr>
        <w:t>04-25263791</w:t>
      </w:r>
    </w:p>
    <w:p w:rsidR="00491CA1" w:rsidRDefault="00515AFC">
      <w:pPr>
        <w:numPr>
          <w:ilvl w:val="1"/>
          <w:numId w:val="1"/>
        </w:numPr>
        <w:spacing w:line="0" w:lineRule="atLeast"/>
      </w:pPr>
      <w:r>
        <w:rPr>
          <w:rFonts w:ascii="標楷體" w:eastAsia="標楷體" w:hAnsi="標楷體"/>
        </w:rPr>
        <w:t>電子信箱：</w:t>
      </w:r>
      <w:r>
        <w:rPr>
          <w:rFonts w:ascii="標楷體" w:eastAsia="標楷體" w:hAnsi="標楷體"/>
        </w:rPr>
        <w:t xml:space="preserve">npc177@taichung.gov.tw </w:t>
      </w:r>
    </w:p>
    <w:p w:rsidR="00491CA1" w:rsidRDefault="00515AFC">
      <w:pPr>
        <w:rPr>
          <w:rFonts w:ascii="標楷體" w:eastAsia="標楷體" w:hAnsi="標楷體"/>
        </w:rPr>
      </w:pPr>
      <w:r>
        <w:rPr>
          <w:rFonts w:ascii="標楷體" w:eastAsia="標楷體" w:hAnsi="標楷體"/>
        </w:rPr>
        <w:t>二、發布形式</w:t>
      </w:r>
    </w:p>
    <w:p w:rsidR="00491CA1" w:rsidRDefault="00515AFC">
      <w:pPr>
        <w:numPr>
          <w:ilvl w:val="1"/>
          <w:numId w:val="1"/>
        </w:numPr>
        <w:spacing w:line="0" w:lineRule="atLeast"/>
        <w:rPr>
          <w:rFonts w:ascii="標楷體" w:eastAsia="標楷體" w:hAnsi="標楷體"/>
        </w:rPr>
      </w:pPr>
      <w:r>
        <w:rPr>
          <w:rFonts w:ascii="標楷體" w:eastAsia="標楷體" w:hAnsi="標楷體"/>
        </w:rPr>
        <w:t>口頭：</w:t>
      </w:r>
    </w:p>
    <w:p w:rsidR="00491CA1" w:rsidRDefault="00515AFC">
      <w:pPr>
        <w:spacing w:line="0" w:lineRule="atLeast"/>
        <w:ind w:firstLine="840"/>
        <w:rPr>
          <w:rFonts w:ascii="標楷體" w:eastAsia="標楷體" w:hAnsi="標楷體"/>
        </w:rPr>
      </w:pPr>
      <w:r>
        <w:rPr>
          <w:rFonts w:ascii="標楷體" w:eastAsia="標楷體" w:hAnsi="標楷體"/>
        </w:rPr>
        <w:t>（）記者會或說明會</w:t>
      </w:r>
    </w:p>
    <w:p w:rsidR="00491CA1" w:rsidRDefault="00515AFC">
      <w:pPr>
        <w:numPr>
          <w:ilvl w:val="1"/>
          <w:numId w:val="1"/>
        </w:numPr>
        <w:spacing w:line="0" w:lineRule="atLeast"/>
        <w:rPr>
          <w:rFonts w:ascii="標楷體" w:eastAsia="標楷體" w:hAnsi="標楷體"/>
        </w:rPr>
      </w:pPr>
      <w:r>
        <w:rPr>
          <w:rFonts w:ascii="標楷體" w:eastAsia="標楷體" w:hAnsi="標楷體"/>
        </w:rPr>
        <w:t>書面：</w:t>
      </w:r>
    </w:p>
    <w:p w:rsidR="00491CA1" w:rsidRDefault="00515AFC">
      <w:pPr>
        <w:spacing w:line="0" w:lineRule="atLeast"/>
        <w:ind w:firstLine="840"/>
        <w:rPr>
          <w:rFonts w:ascii="標楷體" w:eastAsia="標楷體" w:hAnsi="標楷體"/>
        </w:rPr>
      </w:pPr>
      <w:r>
        <w:rPr>
          <w:rFonts w:ascii="標楷體" w:eastAsia="標楷體" w:hAnsi="標楷體"/>
        </w:rPr>
        <w:t>（）新聞稿</w:t>
      </w:r>
      <w:r>
        <w:rPr>
          <w:rFonts w:ascii="標楷體" w:eastAsia="標楷體" w:hAnsi="標楷體"/>
        </w:rPr>
        <w:t xml:space="preserve"> </w:t>
      </w:r>
      <w:r>
        <w:rPr>
          <w:rFonts w:ascii="標楷體" w:eastAsia="標楷體" w:hAnsi="標楷體"/>
        </w:rPr>
        <w:t>（</w:t>
      </w:r>
      <w:r>
        <w:rPr>
          <w:rFonts w:ascii="標楷體" w:eastAsia="標楷體" w:hAnsi="標楷體"/>
        </w:rPr>
        <w:t>v</w:t>
      </w:r>
      <w:r>
        <w:rPr>
          <w:rFonts w:ascii="標楷體" w:eastAsia="標楷體" w:hAnsi="標楷體"/>
        </w:rPr>
        <w:t>）報表</w:t>
      </w:r>
      <w:r>
        <w:rPr>
          <w:rFonts w:ascii="標楷體" w:eastAsia="標楷體" w:hAnsi="標楷體"/>
        </w:rPr>
        <w:t xml:space="preserve"> </w:t>
      </w:r>
      <w:r>
        <w:rPr>
          <w:rFonts w:ascii="標楷體" w:eastAsia="標楷體" w:hAnsi="標楷體"/>
        </w:rPr>
        <w:t>（）書刊，刊名：</w:t>
      </w:r>
      <w:r>
        <w:rPr>
          <w:rFonts w:ascii="標楷體" w:eastAsia="標楷體" w:hAnsi="標楷體"/>
        </w:rPr>
        <w:t xml:space="preserve"> </w:t>
      </w:r>
    </w:p>
    <w:p w:rsidR="00491CA1" w:rsidRDefault="00515AFC">
      <w:pPr>
        <w:numPr>
          <w:ilvl w:val="1"/>
          <w:numId w:val="1"/>
        </w:numPr>
        <w:spacing w:line="0" w:lineRule="atLeast"/>
        <w:rPr>
          <w:rFonts w:ascii="標楷體" w:eastAsia="標楷體" w:hAnsi="標楷體"/>
        </w:rPr>
      </w:pPr>
      <w:r>
        <w:rPr>
          <w:rFonts w:ascii="標楷體" w:eastAsia="標楷體" w:hAnsi="標楷體"/>
        </w:rPr>
        <w:t>電子媒體：</w:t>
      </w:r>
    </w:p>
    <w:p w:rsidR="00491CA1" w:rsidRDefault="00515AFC">
      <w:pPr>
        <w:spacing w:line="0" w:lineRule="atLeast"/>
        <w:ind w:left="600" w:firstLine="240"/>
      </w:pPr>
      <w:r>
        <w:rPr>
          <w:rFonts w:ascii="標楷體" w:eastAsia="標楷體" w:hAnsi="標楷體"/>
        </w:rPr>
        <w:t>（</w:t>
      </w:r>
      <w:r>
        <w:rPr>
          <w:rFonts w:ascii="標楷體" w:eastAsia="標楷體" w:hAnsi="標楷體"/>
        </w:rPr>
        <w:t>v</w:t>
      </w:r>
      <w:r>
        <w:rPr>
          <w:rFonts w:ascii="標楷體" w:eastAsia="標楷體" w:hAnsi="標楷體"/>
        </w:rPr>
        <w:t>）線上書刊及資料庫，網址：</w:t>
      </w:r>
      <w:r>
        <w:rPr>
          <w:rFonts w:ascii="標楷體" w:eastAsia="標楷體" w:hAnsi="標楷體"/>
        </w:rPr>
        <w:br/>
      </w:r>
      <w:r>
        <w:rPr>
          <w:rFonts w:ascii="標楷體" w:eastAsia="標楷體" w:hAnsi="標楷體"/>
        </w:rPr>
        <w:t xml:space="preserve">　</w:t>
      </w:r>
      <w:r>
        <w:rPr>
          <w:rFonts w:ascii="標楷體" w:eastAsia="標楷體" w:hAnsi="標楷體"/>
          <w:sz w:val="18"/>
          <w:szCs w:val="18"/>
        </w:rPr>
        <w:t xml:space="preserve">      http://govstat.taichung.gov.tw/TCSTAT/Page/kcg01_2.aspx?Mid1=387270000G</w:t>
      </w:r>
    </w:p>
    <w:p w:rsidR="00491CA1" w:rsidRDefault="00515AFC">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（）其他</w:t>
      </w:r>
    </w:p>
    <w:p w:rsidR="00491CA1" w:rsidRDefault="00515AFC">
      <w:pPr>
        <w:rPr>
          <w:rFonts w:ascii="標楷體" w:eastAsia="標楷體" w:hAnsi="標楷體"/>
        </w:rPr>
      </w:pPr>
      <w:r>
        <w:rPr>
          <w:rFonts w:ascii="標楷體" w:eastAsia="標楷體" w:hAnsi="標楷體"/>
        </w:rPr>
        <w:t xml:space="preserve"> </w:t>
      </w:r>
      <w:r>
        <w:rPr>
          <w:rFonts w:ascii="標楷體" w:eastAsia="標楷體" w:hAnsi="標楷體"/>
        </w:rPr>
        <w:t>三、資料範圍、週期及時效</w:t>
      </w:r>
    </w:p>
    <w:p w:rsidR="00491CA1" w:rsidRDefault="00515AFC">
      <w:pPr>
        <w:numPr>
          <w:ilvl w:val="1"/>
          <w:numId w:val="1"/>
        </w:numPr>
        <w:spacing w:line="0" w:lineRule="atLeast"/>
      </w:pPr>
      <w:r>
        <w:rPr>
          <w:rFonts w:ascii="標楷體" w:eastAsia="標楷體" w:hAnsi="標楷體"/>
        </w:rPr>
        <w:t>統計地區範圍及對象：</w:t>
      </w:r>
      <w:r>
        <w:rPr>
          <w:rFonts w:ascii="標楷體" w:eastAsia="標楷體" w:hAnsi="標楷體"/>
          <w:szCs w:val="24"/>
        </w:rPr>
        <w:t>本市轄區內之林業用地或依非都市土地使用管制規則規定適用林業用地管制之土地、林木、竹林及副產物遇有發生災害，無論其所有權屬於國有、公有或私有，均為統計對象。</w:t>
      </w:r>
    </w:p>
    <w:p w:rsidR="00491CA1" w:rsidRDefault="00515AFC">
      <w:pPr>
        <w:numPr>
          <w:ilvl w:val="1"/>
          <w:numId w:val="1"/>
        </w:numPr>
        <w:spacing w:line="0" w:lineRule="atLeast"/>
      </w:pPr>
      <w:r>
        <w:rPr>
          <w:rFonts w:ascii="標楷體" w:eastAsia="標楷體" w:hAnsi="標楷體"/>
        </w:rPr>
        <w:t>統計標準時間：</w:t>
      </w:r>
      <w:r>
        <w:rPr>
          <w:rFonts w:ascii="標楷體" w:eastAsia="標楷體" w:hAnsi="標楷體"/>
          <w:szCs w:val="24"/>
        </w:rPr>
        <w:t>以每月</w:t>
      </w:r>
      <w:r>
        <w:rPr>
          <w:rFonts w:ascii="標楷體" w:eastAsia="標楷體" w:hAnsi="標楷體"/>
          <w:szCs w:val="24"/>
        </w:rPr>
        <w:t>1</w:t>
      </w:r>
      <w:r>
        <w:rPr>
          <w:rFonts w:ascii="標楷體" w:eastAsia="標楷體" w:hAnsi="標楷體"/>
          <w:szCs w:val="24"/>
        </w:rPr>
        <w:t>日至月底之事實為準</w:t>
      </w:r>
      <w:r>
        <w:rPr>
          <w:rFonts w:ascii="標楷體" w:eastAsia="標楷體" w:hAnsi="標楷體"/>
        </w:rPr>
        <w:t>。</w:t>
      </w:r>
    </w:p>
    <w:p w:rsidR="00491CA1" w:rsidRDefault="00515AFC">
      <w:pPr>
        <w:numPr>
          <w:ilvl w:val="1"/>
          <w:numId w:val="1"/>
        </w:numPr>
        <w:spacing w:after="50" w:line="260" w:lineRule="exact"/>
      </w:pPr>
      <w:r>
        <w:rPr>
          <w:rFonts w:eastAsia="標楷體"/>
        </w:rPr>
        <w:t>統計項目定義：</w:t>
      </w:r>
    </w:p>
    <w:p w:rsidR="00491CA1" w:rsidRDefault="00515AFC">
      <w:pPr>
        <w:spacing w:after="50" w:line="260" w:lineRule="exact"/>
        <w:ind w:left="960"/>
        <w:rPr>
          <w:rFonts w:ascii="標楷體" w:eastAsia="標楷體" w:hAnsi="標楷體"/>
          <w:szCs w:val="24"/>
        </w:rPr>
      </w:pPr>
      <w:r>
        <w:rPr>
          <w:rFonts w:ascii="標楷體" w:eastAsia="標楷體" w:hAnsi="標楷體"/>
          <w:szCs w:val="24"/>
        </w:rPr>
        <w:t>（一）災害種類</w:t>
      </w:r>
      <w:r>
        <w:rPr>
          <w:rFonts w:ascii="標楷體" w:eastAsia="標楷體" w:hAnsi="標楷體"/>
          <w:szCs w:val="24"/>
        </w:rPr>
        <w:t>:</w:t>
      </w:r>
      <w:r>
        <w:rPr>
          <w:rFonts w:ascii="標楷體" w:eastAsia="標楷體" w:hAnsi="標楷體"/>
          <w:szCs w:val="24"/>
        </w:rPr>
        <w:t>按火災、盜伐、濫墾、其他等</w:t>
      </w:r>
      <w:r>
        <w:rPr>
          <w:rFonts w:ascii="標楷體" w:eastAsia="標楷體" w:hAnsi="標楷體"/>
          <w:szCs w:val="24"/>
        </w:rPr>
        <w:t>4</w:t>
      </w:r>
      <w:r>
        <w:rPr>
          <w:rFonts w:ascii="標楷體" w:eastAsia="標楷體" w:hAnsi="標楷體"/>
          <w:szCs w:val="24"/>
        </w:rPr>
        <w:t>類順序填列，其他填列不屬於前</w:t>
      </w:r>
      <w:r>
        <w:rPr>
          <w:rFonts w:ascii="標楷體" w:eastAsia="標楷體" w:hAnsi="標楷體"/>
          <w:szCs w:val="24"/>
        </w:rPr>
        <w:t>3</w:t>
      </w:r>
      <w:r>
        <w:rPr>
          <w:rFonts w:ascii="標楷體" w:eastAsia="標楷體" w:hAnsi="標楷體"/>
          <w:szCs w:val="24"/>
        </w:rPr>
        <w:t>類之災害如颱風、水災、震災、旱災、病蟲害等。</w:t>
      </w:r>
    </w:p>
    <w:p w:rsidR="00491CA1" w:rsidRDefault="00515AFC">
      <w:pPr>
        <w:spacing w:after="50" w:line="260" w:lineRule="exact"/>
        <w:ind w:left="96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火災：指森林焚燒所引起之災害。</w:t>
      </w:r>
    </w:p>
    <w:p w:rsidR="00491CA1" w:rsidRDefault="00515AFC">
      <w:pPr>
        <w:spacing w:after="50" w:line="260" w:lineRule="exact"/>
        <w:ind w:left="96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盜伐：指未經政府主管機關許可，為圖非法利益竊取林木之採伐行為。</w:t>
      </w:r>
    </w:p>
    <w:p w:rsidR="00491CA1" w:rsidRDefault="00515AFC">
      <w:pPr>
        <w:spacing w:after="50" w:line="260" w:lineRule="exact"/>
        <w:ind w:left="96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濫墾：指在林地內任意開墾耕種其他農作物，影響水土保持之不法行為。</w:t>
      </w:r>
    </w:p>
    <w:p w:rsidR="00491CA1" w:rsidRDefault="00515AFC">
      <w:pPr>
        <w:spacing w:after="50" w:line="260" w:lineRule="exact"/>
        <w:ind w:left="960"/>
        <w:rPr>
          <w:rFonts w:ascii="標楷體" w:eastAsia="標楷體" w:hAnsi="標楷體"/>
          <w:szCs w:val="24"/>
        </w:rPr>
      </w:pPr>
      <w:r>
        <w:rPr>
          <w:rFonts w:ascii="標楷體" w:eastAsia="標楷體" w:hAnsi="標楷體"/>
          <w:szCs w:val="24"/>
        </w:rPr>
        <w:t>（二）所有別：指森林所有權屬，如國有、公有、私有。</w:t>
      </w:r>
      <w:r>
        <w:rPr>
          <w:rFonts w:ascii="標楷體" w:eastAsia="標楷體" w:hAnsi="標楷體"/>
          <w:szCs w:val="24"/>
        </w:rPr>
        <w:t xml:space="preserve"> </w:t>
      </w:r>
    </w:p>
    <w:p w:rsidR="00491CA1" w:rsidRDefault="00515AFC">
      <w:pPr>
        <w:numPr>
          <w:ilvl w:val="1"/>
          <w:numId w:val="1"/>
        </w:numPr>
        <w:tabs>
          <w:tab w:val="left" w:pos="960"/>
        </w:tabs>
        <w:spacing w:line="260" w:lineRule="exact"/>
        <w:ind w:left="964" w:hanging="482"/>
        <w:rPr>
          <w:rFonts w:eastAsia="標楷體"/>
        </w:rPr>
      </w:pPr>
      <w:r>
        <w:rPr>
          <w:rFonts w:eastAsia="標楷體"/>
        </w:rPr>
        <w:t>統計單位：公頃；立方公尺；株；支；公斤；元。</w:t>
      </w:r>
    </w:p>
    <w:p w:rsidR="00491CA1" w:rsidRDefault="00515AFC">
      <w:pPr>
        <w:numPr>
          <w:ilvl w:val="1"/>
          <w:numId w:val="1"/>
        </w:numPr>
        <w:tabs>
          <w:tab w:val="left" w:pos="960"/>
        </w:tabs>
        <w:spacing w:line="260" w:lineRule="exact"/>
        <w:ind w:left="964" w:hanging="482"/>
      </w:pPr>
      <w:r>
        <w:rPr>
          <w:rFonts w:eastAsia="標楷體"/>
        </w:rPr>
        <w:t>統計分類：</w:t>
      </w:r>
      <w:r>
        <w:rPr>
          <w:rFonts w:ascii="標楷體" w:eastAsia="標楷體" w:hAnsi="標楷體"/>
          <w:szCs w:val="24"/>
        </w:rPr>
        <w:t>按性質分為火災、盜伐、濫墾及其他（包括風災、水災、地震、病蟲害等）。</w:t>
      </w:r>
    </w:p>
    <w:p w:rsidR="00491CA1" w:rsidRDefault="00515AFC">
      <w:pPr>
        <w:numPr>
          <w:ilvl w:val="1"/>
          <w:numId w:val="1"/>
        </w:numPr>
        <w:spacing w:after="50" w:line="260" w:lineRule="exact"/>
      </w:pPr>
      <w:r>
        <w:rPr>
          <w:rFonts w:eastAsia="標楷體"/>
        </w:rPr>
        <w:t>發布週期：災害發</w:t>
      </w:r>
      <w:r>
        <w:rPr>
          <w:rFonts w:eastAsia="標楷體"/>
        </w:rPr>
        <w:t>現後</w:t>
      </w:r>
      <w:r>
        <w:rPr>
          <w:rFonts w:ascii="標楷體" w:eastAsia="標楷體" w:hAnsi="標楷體"/>
        </w:rPr>
        <w:t>15</w:t>
      </w:r>
      <w:r>
        <w:rPr>
          <w:rFonts w:eastAsia="標楷體"/>
        </w:rPr>
        <w:t>日內（即刻報）。</w:t>
      </w:r>
      <w:r>
        <w:rPr>
          <w:rFonts w:ascii="標楷體" w:eastAsia="標楷體" w:hAnsi="標楷體"/>
          <w:szCs w:val="24"/>
        </w:rPr>
        <w:t xml:space="preserve">                 </w:t>
      </w:r>
    </w:p>
    <w:p w:rsidR="00491CA1" w:rsidRDefault="00515AFC">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時效：災害發現後</w:t>
      </w:r>
      <w:r>
        <w:rPr>
          <w:rFonts w:ascii="標楷體" w:eastAsia="標楷體" w:hAnsi="標楷體"/>
        </w:rPr>
        <w:t>15</w:t>
      </w:r>
      <w:r>
        <w:rPr>
          <w:rFonts w:ascii="標楷體" w:eastAsia="標楷體" w:hAnsi="標楷體"/>
        </w:rPr>
        <w:t>日內。</w:t>
      </w:r>
    </w:p>
    <w:p w:rsidR="00491CA1" w:rsidRDefault="00515AFC">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資料變革：無。</w:t>
      </w:r>
    </w:p>
    <w:p w:rsidR="00491CA1" w:rsidRDefault="00515AFC">
      <w:pPr>
        <w:spacing w:line="260" w:lineRule="exact"/>
        <w:rPr>
          <w:rFonts w:ascii="標楷體" w:eastAsia="標楷體" w:hAnsi="標楷體"/>
        </w:rPr>
      </w:pPr>
      <w:r>
        <w:rPr>
          <w:rFonts w:ascii="標楷體" w:eastAsia="標楷體" w:hAnsi="標楷體"/>
        </w:rPr>
        <w:t>四、公開資料發布訊息</w:t>
      </w:r>
    </w:p>
    <w:p w:rsidR="00491CA1" w:rsidRDefault="00515AFC">
      <w:pPr>
        <w:numPr>
          <w:ilvl w:val="1"/>
          <w:numId w:val="1"/>
        </w:numPr>
        <w:tabs>
          <w:tab w:val="left" w:pos="960"/>
        </w:tabs>
        <w:spacing w:line="260" w:lineRule="exact"/>
        <w:ind w:left="2618" w:hanging="2138"/>
        <w:rPr>
          <w:rFonts w:ascii="標楷體" w:eastAsia="標楷體" w:hAnsi="標楷體"/>
        </w:rPr>
      </w:pPr>
      <w:r>
        <w:rPr>
          <w:rFonts w:ascii="標楷體" w:eastAsia="標楷體" w:hAnsi="標楷體"/>
        </w:rPr>
        <w:t>預告發布日期：災害發現後</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491CA1" w:rsidRDefault="00515AFC">
      <w:pPr>
        <w:numPr>
          <w:ilvl w:val="1"/>
          <w:numId w:val="1"/>
        </w:numPr>
        <w:spacing w:line="260" w:lineRule="exact"/>
      </w:pPr>
      <w:r>
        <w:rPr>
          <w:rFonts w:ascii="標楷體" w:eastAsia="標楷體" w:hAnsi="標楷體"/>
        </w:rPr>
        <w:t>同步發送單位</w:t>
      </w:r>
      <w:r>
        <w:rPr>
          <w:rFonts w:eastAsia="標楷體"/>
        </w:rPr>
        <w:t>：臺中市政府主計處。</w:t>
      </w:r>
    </w:p>
    <w:p w:rsidR="00491CA1" w:rsidRDefault="00515AFC">
      <w:pPr>
        <w:spacing w:line="280" w:lineRule="exact"/>
        <w:rPr>
          <w:rFonts w:eastAsia="標楷體"/>
        </w:rPr>
      </w:pPr>
      <w:r>
        <w:rPr>
          <w:rFonts w:eastAsia="標楷體"/>
        </w:rPr>
        <w:t>五、資料品質</w:t>
      </w:r>
    </w:p>
    <w:p w:rsidR="00491CA1" w:rsidRDefault="00515AFC">
      <w:pPr>
        <w:pStyle w:val="a8"/>
        <w:numPr>
          <w:ilvl w:val="0"/>
          <w:numId w:val="2"/>
        </w:numPr>
        <w:spacing w:after="50" w:line="280" w:lineRule="exact"/>
        <w:ind w:hanging="54"/>
      </w:pPr>
      <w:r>
        <w:rPr>
          <w:rFonts w:eastAsia="標楷體"/>
        </w:rPr>
        <w:t>統計指標編製方法與資料來源說明：</w:t>
      </w:r>
      <w:r>
        <w:rPr>
          <w:rFonts w:ascii="標楷體" w:eastAsia="標楷體" w:hAnsi="標楷體"/>
        </w:rPr>
        <w:t>由本局林務自然保育科依據各公所森林災害報告報表彙編。</w:t>
      </w:r>
    </w:p>
    <w:p w:rsidR="00491CA1" w:rsidRDefault="00515AFC">
      <w:pPr>
        <w:pStyle w:val="a8"/>
        <w:numPr>
          <w:ilvl w:val="0"/>
          <w:numId w:val="2"/>
        </w:numPr>
        <w:spacing w:after="50" w:line="280" w:lineRule="exact"/>
        <w:ind w:hanging="54"/>
      </w:pPr>
      <w:r>
        <w:rPr>
          <w:rFonts w:eastAsia="標楷體"/>
        </w:rPr>
        <w:t>統計資料交叉查核及確保資料合理性之機制：林務自然保育科</w:t>
      </w:r>
      <w:r>
        <w:rPr>
          <w:rFonts w:ascii="標楷體" w:eastAsia="標楷體" w:hAnsi="標楷體"/>
        </w:rPr>
        <w:t>、會計室交叉查核確保資料合理性。</w:t>
      </w:r>
    </w:p>
    <w:p w:rsidR="00491CA1" w:rsidRDefault="00515AFC">
      <w:pPr>
        <w:spacing w:line="280" w:lineRule="exact"/>
        <w:rPr>
          <w:rFonts w:eastAsia="標楷體"/>
        </w:rPr>
      </w:pPr>
      <w:r>
        <w:rPr>
          <w:rFonts w:eastAsia="標楷體"/>
        </w:rPr>
        <w:t>六、注意及預定改變之事項：表號</w:t>
      </w:r>
      <w:r>
        <w:rPr>
          <w:rFonts w:eastAsia="標楷體"/>
        </w:rPr>
        <w:t>11233-90-01-2</w:t>
      </w:r>
      <w:r>
        <w:rPr>
          <w:rFonts w:eastAsia="標楷體"/>
        </w:rPr>
        <w:t>。</w:t>
      </w:r>
    </w:p>
    <w:p w:rsidR="00491CA1" w:rsidRDefault="00515AFC">
      <w:pPr>
        <w:spacing w:line="280" w:lineRule="exact"/>
      </w:pPr>
      <w:r>
        <w:rPr>
          <w:rFonts w:eastAsia="標楷體"/>
        </w:rPr>
        <w:lastRenderedPageBreak/>
        <w:t>七</w:t>
      </w:r>
      <w:r>
        <w:rPr>
          <w:rFonts w:ascii="標楷體" w:eastAsia="標楷體" w:hAnsi="標楷體"/>
        </w:rPr>
        <w:t>、</w:t>
      </w:r>
      <w:r>
        <w:rPr>
          <w:rFonts w:eastAsia="標楷體"/>
        </w:rPr>
        <w:t>其他事項：無。</w:t>
      </w:r>
    </w:p>
    <w:p w:rsidR="00491CA1" w:rsidRDefault="00491CA1">
      <w:pPr>
        <w:spacing w:line="0" w:lineRule="atLeast"/>
      </w:pPr>
    </w:p>
    <w:sectPr w:rsidR="00491CA1">
      <w:pgSz w:w="11906" w:h="16838"/>
      <w:pgMar w:top="1079" w:right="1466" w:bottom="68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15AFC">
      <w:r>
        <w:separator/>
      </w:r>
    </w:p>
  </w:endnote>
  <w:endnote w:type="continuationSeparator" w:id="0">
    <w:p w:rsidR="00000000" w:rsidRDefault="0051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Gothic Medium JP">
    <w:altName w:val="Calibri"/>
    <w:charset w:val="00"/>
    <w:family w:val="modern"/>
    <w:pitch w:val="variable"/>
  </w:font>
  <w:font w:name="AncientClock">
    <w:charset w:val="02"/>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15AFC">
      <w:r>
        <w:rPr>
          <w:color w:val="000000"/>
        </w:rPr>
        <w:separator/>
      </w:r>
    </w:p>
  </w:footnote>
  <w:footnote w:type="continuationSeparator" w:id="0">
    <w:p w:rsidR="00000000" w:rsidRDefault="0051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339"/>
    <w:multiLevelType w:val="multilevel"/>
    <w:tmpl w:val="E72C24E6"/>
    <w:lvl w:ilvl="0">
      <w:numFmt w:val="bullet"/>
      <w:lvlText w:val=""/>
      <w:lvlJc w:val="left"/>
      <w:pPr>
        <w:ind w:left="720" w:hanging="720"/>
      </w:pPr>
      <w:rPr>
        <w:rFonts w:ascii="Wingdings 2" w:hAnsi="Wingdings 2"/>
      </w:rPr>
    </w:lvl>
    <w:lvl w:ilvl="1">
      <w:numFmt w:val="bullet"/>
      <w:lvlText w:val="*"/>
      <w:lvlJc w:val="left"/>
      <w:pPr>
        <w:ind w:left="960" w:hanging="480"/>
      </w:pPr>
      <w:rPr>
        <w:rFonts w:ascii="AR PGothic Medium JP" w:eastAsia="AR PGothic Medium JP" w:hAnsi="AR PGothic Medium JP"/>
        <w:color w:val="auto"/>
      </w:rPr>
    </w:lvl>
    <w:lvl w:ilvl="2">
      <w:start w:val="1"/>
      <w:numFmt w:val="taiwaneseCountingThousand"/>
      <w:lvlText w:val="（%3）"/>
      <w:lvlJc w:val="left"/>
      <w:pPr>
        <w:ind w:left="180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9E5120"/>
    <w:multiLevelType w:val="multilevel"/>
    <w:tmpl w:val="17E06B46"/>
    <w:lvl w:ilvl="0">
      <w:numFmt w:val="bullet"/>
      <w:lvlText w:val="*"/>
      <w:lvlJc w:val="left"/>
      <w:pPr>
        <w:ind w:left="480" w:hanging="480"/>
      </w:pPr>
      <w:rPr>
        <w:rFonts w:ascii="AR PGothic Medium JP" w:eastAsia="AR PGothic Medium JP" w:hAnsi="AR PGothic Medium JP"/>
        <w:color w:val="auto"/>
      </w:rPr>
    </w:lvl>
    <w:lvl w:ilvl="1">
      <w:numFmt w:val="bullet"/>
      <w:lvlText w:val=""/>
      <w:lvlJc w:val="left"/>
      <w:pPr>
        <w:ind w:left="960" w:hanging="480"/>
      </w:pPr>
      <w:rPr>
        <w:rFonts w:ascii="AncientClock" w:hAnsi="AncientClock"/>
      </w:rPr>
    </w:lvl>
    <w:lvl w:ilvl="2">
      <w:numFmt w:val="bullet"/>
      <w:lvlText w:val=""/>
      <w:lvlJc w:val="left"/>
      <w:pPr>
        <w:ind w:left="1440" w:hanging="480"/>
      </w:pPr>
      <w:rPr>
        <w:rFonts w:ascii="AncientClock" w:hAnsi="AncientClock"/>
      </w:rPr>
    </w:lvl>
    <w:lvl w:ilvl="3">
      <w:numFmt w:val="bullet"/>
      <w:lvlText w:val=""/>
      <w:lvlJc w:val="left"/>
      <w:pPr>
        <w:ind w:left="1920" w:hanging="480"/>
      </w:pPr>
      <w:rPr>
        <w:rFonts w:ascii="AncientClock" w:hAnsi="AncientClock"/>
      </w:rPr>
    </w:lvl>
    <w:lvl w:ilvl="4">
      <w:numFmt w:val="bullet"/>
      <w:lvlText w:val=""/>
      <w:lvlJc w:val="left"/>
      <w:pPr>
        <w:ind w:left="2400" w:hanging="480"/>
      </w:pPr>
      <w:rPr>
        <w:rFonts w:ascii="AncientClock" w:hAnsi="AncientClock"/>
      </w:rPr>
    </w:lvl>
    <w:lvl w:ilvl="5">
      <w:numFmt w:val="bullet"/>
      <w:lvlText w:val=""/>
      <w:lvlJc w:val="left"/>
      <w:pPr>
        <w:ind w:left="2880" w:hanging="480"/>
      </w:pPr>
      <w:rPr>
        <w:rFonts w:ascii="AncientClock" w:hAnsi="AncientClock"/>
      </w:rPr>
    </w:lvl>
    <w:lvl w:ilvl="6">
      <w:numFmt w:val="bullet"/>
      <w:lvlText w:val=""/>
      <w:lvlJc w:val="left"/>
      <w:pPr>
        <w:ind w:left="3360" w:hanging="480"/>
      </w:pPr>
      <w:rPr>
        <w:rFonts w:ascii="AncientClock" w:hAnsi="AncientClock"/>
      </w:rPr>
    </w:lvl>
    <w:lvl w:ilvl="7">
      <w:numFmt w:val="bullet"/>
      <w:lvlText w:val=""/>
      <w:lvlJc w:val="left"/>
      <w:pPr>
        <w:ind w:left="3840" w:hanging="480"/>
      </w:pPr>
      <w:rPr>
        <w:rFonts w:ascii="AncientClock" w:hAnsi="AncientClock"/>
      </w:rPr>
    </w:lvl>
    <w:lvl w:ilvl="8">
      <w:numFmt w:val="bullet"/>
      <w:lvlText w:val=""/>
      <w:lvlJc w:val="left"/>
      <w:pPr>
        <w:ind w:left="4320" w:hanging="480"/>
      </w:pPr>
      <w:rPr>
        <w:rFonts w:ascii="AncientClock" w:hAnsi="AncientClock"/>
      </w:rPr>
    </w:lvl>
  </w:abstractNum>
  <w:num w:numId="1" w16cid:durableId="182286230">
    <w:abstractNumId w:val="0"/>
  </w:num>
  <w:num w:numId="2" w16cid:durableId="168906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1CA1"/>
    <w:rsid w:val="00491CA1"/>
    <w:rsid w:val="00515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01C8A0-84D1-4196-A801-24236B6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Plain Text"/>
    <w:basedOn w:val="a"/>
    <w:rPr>
      <w:rFonts w:ascii="細明體" w:eastAsia="細明體" w:hAnsi="細明體"/>
    </w:rPr>
  </w:style>
  <w:style w:type="character" w:customStyle="1" w:styleId="a9">
    <w:name w:val="純文字 字元"/>
    <w:rPr>
      <w:rFonts w:ascii="細明體" w:eastAsia="細明體" w:hAnsi="細明體"/>
      <w:kern w:val="3"/>
      <w:sz w:val="24"/>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臺北市地方總預算歲出用途別月報表統計資料背景說明</dc:title>
  <dc:subject/>
  <dc:creator>user</dc:creator>
  <cp:lastModifiedBy>cws</cp:lastModifiedBy>
  <cp:revision>2</cp:revision>
  <cp:lastPrinted>2016-03-25T07:51:00Z</cp:lastPrinted>
  <dcterms:created xsi:type="dcterms:W3CDTF">2023-12-06T03:32:00Z</dcterms:created>
  <dcterms:modified xsi:type="dcterms:W3CDTF">2023-12-06T03:32:00Z</dcterms:modified>
</cp:coreProperties>
</file>