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72D" w:rsidRDefault="00DE7AB3">
      <w:pPr>
        <w:snapToGrid w:val="0"/>
        <w:jc w:val="center"/>
        <w:rPr>
          <w:rFonts w:eastAsia="標楷體"/>
          <w:sz w:val="28"/>
        </w:rPr>
      </w:pPr>
      <w:r>
        <w:rPr>
          <w:rFonts w:eastAsia="標楷體"/>
          <w:sz w:val="28"/>
        </w:rPr>
        <w:t>統計資料背景說明</w:t>
      </w:r>
    </w:p>
    <w:p w:rsidR="0009272D" w:rsidRDefault="00DE7AB3">
      <w:pPr>
        <w:spacing w:line="360" w:lineRule="exact"/>
        <w:rPr>
          <w:rFonts w:eastAsia="標楷體"/>
          <w:sz w:val="28"/>
        </w:rPr>
      </w:pPr>
      <w:r>
        <w:rPr>
          <w:rFonts w:eastAsia="標楷體"/>
          <w:sz w:val="28"/>
        </w:rPr>
        <w:t>資料種類：其他司法、犯罪及安全統計</w:t>
      </w:r>
    </w:p>
    <w:p w:rsidR="0009272D" w:rsidRDefault="00DE7AB3">
      <w:pPr>
        <w:snapToGrid w:val="0"/>
        <w:rPr>
          <w:rFonts w:eastAsia="標楷體"/>
          <w:sz w:val="28"/>
        </w:rPr>
      </w:pPr>
      <w:r>
        <w:rPr>
          <w:rFonts w:eastAsia="標楷體"/>
          <w:sz w:val="28"/>
        </w:rPr>
        <w:t>資料項目：臺中市政府政風處預防工作績效統計</w:t>
      </w:r>
    </w:p>
    <w:p w:rsidR="0009272D" w:rsidRDefault="00DE7AB3">
      <w:pPr>
        <w:snapToGrid w:val="0"/>
        <w:rPr>
          <w:rFonts w:eastAsia="標楷體"/>
          <w:sz w:val="28"/>
        </w:rPr>
      </w:pPr>
      <w:r>
        <w:rPr>
          <w:rFonts w:eastAsia="標楷體"/>
          <w:sz w:val="28"/>
        </w:rPr>
        <w:t>一、發布及編製機關單位</w:t>
      </w:r>
    </w:p>
    <w:p w:rsidR="0009272D" w:rsidRDefault="00DE7AB3">
      <w:pPr>
        <w:numPr>
          <w:ilvl w:val="1"/>
          <w:numId w:val="2"/>
        </w:numPr>
        <w:snapToGrid w:val="0"/>
        <w:jc w:val="both"/>
        <w:rPr>
          <w:rFonts w:eastAsia="標楷體"/>
          <w:sz w:val="28"/>
        </w:rPr>
      </w:pPr>
      <w:r>
        <w:rPr>
          <w:rFonts w:eastAsia="標楷體"/>
          <w:sz w:val="28"/>
        </w:rPr>
        <w:t>發布機關、單位：臺中市政府政風處會計室</w:t>
      </w:r>
    </w:p>
    <w:p w:rsidR="0009272D" w:rsidRDefault="00DE7AB3">
      <w:pPr>
        <w:numPr>
          <w:ilvl w:val="1"/>
          <w:numId w:val="2"/>
        </w:numPr>
        <w:snapToGrid w:val="0"/>
        <w:jc w:val="both"/>
        <w:rPr>
          <w:rFonts w:eastAsia="標楷體"/>
          <w:sz w:val="28"/>
        </w:rPr>
      </w:pPr>
      <w:r>
        <w:rPr>
          <w:rFonts w:eastAsia="標楷體"/>
          <w:sz w:val="28"/>
        </w:rPr>
        <w:t>編製單位：臺中市政府政風處第二科</w:t>
      </w:r>
    </w:p>
    <w:p w:rsidR="0009272D" w:rsidRDefault="00DE7AB3">
      <w:pPr>
        <w:numPr>
          <w:ilvl w:val="1"/>
          <w:numId w:val="2"/>
        </w:numPr>
        <w:snapToGrid w:val="0"/>
        <w:jc w:val="both"/>
        <w:rPr>
          <w:rFonts w:eastAsia="標楷體"/>
          <w:sz w:val="28"/>
        </w:rPr>
      </w:pPr>
      <w:r>
        <w:rPr>
          <w:rFonts w:eastAsia="標楷體"/>
          <w:sz w:val="28"/>
        </w:rPr>
        <w:t>聯絡電話：（</w:t>
      </w:r>
      <w:r>
        <w:rPr>
          <w:rFonts w:eastAsia="標楷體"/>
          <w:sz w:val="28"/>
        </w:rPr>
        <w:t>04</w:t>
      </w:r>
      <w:r>
        <w:rPr>
          <w:rFonts w:eastAsia="標楷體"/>
          <w:sz w:val="28"/>
        </w:rPr>
        <w:t>）</w:t>
      </w:r>
      <w:r>
        <w:rPr>
          <w:rFonts w:eastAsia="標楷體"/>
          <w:sz w:val="28"/>
        </w:rPr>
        <w:t>22289111</w:t>
      </w:r>
      <w:r>
        <w:rPr>
          <w:rFonts w:eastAsia="標楷體"/>
          <w:sz w:val="28"/>
        </w:rPr>
        <w:t>轉</w:t>
      </w:r>
      <w:r>
        <w:rPr>
          <w:rFonts w:eastAsia="標楷體"/>
          <w:sz w:val="28"/>
        </w:rPr>
        <w:t>13204</w:t>
      </w:r>
    </w:p>
    <w:p w:rsidR="0009272D" w:rsidRDefault="00DE7AB3">
      <w:pPr>
        <w:numPr>
          <w:ilvl w:val="1"/>
          <w:numId w:val="2"/>
        </w:numPr>
        <w:snapToGrid w:val="0"/>
        <w:jc w:val="both"/>
        <w:rPr>
          <w:rFonts w:eastAsia="標楷體"/>
          <w:sz w:val="28"/>
        </w:rPr>
      </w:pPr>
      <w:r>
        <w:rPr>
          <w:rFonts w:eastAsia="標楷體"/>
          <w:sz w:val="28"/>
        </w:rPr>
        <w:t>電子信箱：</w:t>
      </w:r>
      <w:r>
        <w:rPr>
          <w:rFonts w:eastAsia="標楷體"/>
          <w:sz w:val="28"/>
        </w:rPr>
        <w:t>min66@taichung.gov.tw</w:t>
      </w:r>
    </w:p>
    <w:p w:rsidR="0009272D" w:rsidRDefault="00DE7AB3">
      <w:pPr>
        <w:numPr>
          <w:ilvl w:val="0"/>
          <w:numId w:val="2"/>
        </w:numPr>
        <w:snapToGrid w:val="0"/>
        <w:jc w:val="both"/>
        <w:rPr>
          <w:rFonts w:eastAsia="標楷體"/>
          <w:sz w:val="28"/>
        </w:rPr>
      </w:pPr>
      <w:r>
        <w:rPr>
          <w:rFonts w:eastAsia="標楷體"/>
          <w:sz w:val="28"/>
        </w:rPr>
        <w:t>發布形式</w:t>
      </w:r>
    </w:p>
    <w:p w:rsidR="0009272D" w:rsidRDefault="00DE7AB3">
      <w:pPr>
        <w:numPr>
          <w:ilvl w:val="1"/>
          <w:numId w:val="2"/>
        </w:numPr>
        <w:snapToGrid w:val="0"/>
        <w:jc w:val="both"/>
        <w:rPr>
          <w:rFonts w:eastAsia="標楷體"/>
          <w:sz w:val="28"/>
        </w:rPr>
      </w:pPr>
      <w:r>
        <w:rPr>
          <w:rFonts w:eastAsia="標楷體"/>
          <w:sz w:val="28"/>
        </w:rPr>
        <w:t>口頭：</w:t>
      </w:r>
    </w:p>
    <w:p w:rsidR="0009272D" w:rsidRDefault="00DE7AB3">
      <w:pPr>
        <w:snapToGrid w:val="0"/>
        <w:ind w:left="480"/>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）記者會或說明會</w:t>
      </w:r>
    </w:p>
    <w:p w:rsidR="0009272D" w:rsidRDefault="00DE7AB3">
      <w:pPr>
        <w:numPr>
          <w:ilvl w:val="1"/>
          <w:numId w:val="2"/>
        </w:numPr>
        <w:snapToGrid w:val="0"/>
        <w:jc w:val="both"/>
        <w:rPr>
          <w:rFonts w:eastAsia="標楷體"/>
          <w:sz w:val="28"/>
        </w:rPr>
      </w:pPr>
      <w:r>
        <w:rPr>
          <w:rFonts w:eastAsia="標楷體"/>
          <w:sz w:val="28"/>
        </w:rPr>
        <w:t>書面：</w:t>
      </w:r>
    </w:p>
    <w:p w:rsidR="0009272D" w:rsidRDefault="00DE7AB3">
      <w:pPr>
        <w:snapToGrid w:val="0"/>
        <w:ind w:left="480"/>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）新聞稿</w:t>
      </w:r>
      <w:r>
        <w:rPr>
          <w:rFonts w:eastAsia="標楷體"/>
          <w:sz w:val="28"/>
        </w:rPr>
        <w:t xml:space="preserve">  </w:t>
      </w:r>
      <w:r>
        <w:rPr>
          <w:rFonts w:eastAsia="標楷體"/>
          <w:sz w:val="28"/>
        </w:rPr>
        <w:t>（</w:t>
      </w:r>
      <w:r>
        <w:rPr>
          <w:rFonts w:eastAsia="標楷體"/>
          <w:sz w:val="28"/>
        </w:rPr>
        <w:t xml:space="preserve">V </w:t>
      </w:r>
      <w:r>
        <w:rPr>
          <w:rFonts w:eastAsia="標楷體"/>
          <w:sz w:val="28"/>
        </w:rPr>
        <w:t>）報表</w:t>
      </w:r>
      <w:r>
        <w:rPr>
          <w:rFonts w:eastAsia="標楷體"/>
          <w:sz w:val="28"/>
        </w:rPr>
        <w:t xml:space="preserve">  </w:t>
      </w:r>
      <w:r>
        <w:rPr>
          <w:rFonts w:eastAsia="標楷體"/>
          <w:sz w:val="28"/>
        </w:rPr>
        <w:t>（</w:t>
      </w:r>
      <w:r>
        <w:rPr>
          <w:rFonts w:eastAsia="標楷體"/>
          <w:sz w:val="28"/>
        </w:rPr>
        <w:t xml:space="preserve"> </w:t>
      </w:r>
      <w:r>
        <w:rPr>
          <w:rFonts w:eastAsia="標楷體"/>
          <w:sz w:val="28"/>
        </w:rPr>
        <w:t>）書刊，刊名：</w:t>
      </w:r>
    </w:p>
    <w:p w:rsidR="0009272D" w:rsidRDefault="00DE7AB3">
      <w:pPr>
        <w:numPr>
          <w:ilvl w:val="1"/>
          <w:numId w:val="2"/>
        </w:numPr>
        <w:snapToGrid w:val="0"/>
        <w:jc w:val="both"/>
        <w:rPr>
          <w:rFonts w:eastAsia="標楷體"/>
          <w:sz w:val="28"/>
        </w:rPr>
      </w:pPr>
      <w:r>
        <w:rPr>
          <w:rFonts w:eastAsia="標楷體"/>
          <w:sz w:val="28"/>
        </w:rPr>
        <w:t>電子媒體：</w:t>
      </w:r>
    </w:p>
    <w:p w:rsidR="0009272D" w:rsidRDefault="00DE7AB3">
      <w:pPr>
        <w:snapToGrid w:val="0"/>
        <w:ind w:left="720"/>
      </w:pPr>
      <w:r>
        <w:rPr>
          <w:rFonts w:eastAsia="標楷體"/>
          <w:sz w:val="28"/>
        </w:rPr>
        <w:t xml:space="preserve">  </w:t>
      </w:r>
      <w:r>
        <w:rPr>
          <w:rFonts w:eastAsia="標楷體"/>
          <w:sz w:val="28"/>
        </w:rPr>
        <w:t>（</w:t>
      </w:r>
      <w:r>
        <w:rPr>
          <w:rFonts w:eastAsia="標楷體"/>
          <w:sz w:val="28"/>
        </w:rPr>
        <w:t>V</w:t>
      </w:r>
      <w:r>
        <w:rPr>
          <w:rFonts w:eastAsia="標楷體"/>
          <w:sz w:val="28"/>
        </w:rPr>
        <w:t>）線上書刊及資料庫，網址：</w:t>
      </w:r>
      <w:hyperlink r:id="rId7" w:history="1">
        <w:r>
          <w:rPr>
            <w:rStyle w:val="a7"/>
            <w:rFonts w:eastAsia="標楷體"/>
            <w:color w:val="auto"/>
            <w:sz w:val="28"/>
            <w:szCs w:val="28"/>
          </w:rPr>
          <w:t>http://govstat.taichung.gov.tw/TCSTAT/Page/kcg01_2.aspx?Mid1=387230000A</w:t>
        </w:r>
      </w:hyperlink>
    </w:p>
    <w:p w:rsidR="0009272D" w:rsidRDefault="00DE7AB3">
      <w:pPr>
        <w:snapToGrid w:val="0"/>
        <w:ind w:left="720"/>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）磁片</w:t>
      </w:r>
      <w:r>
        <w:rPr>
          <w:rFonts w:eastAsia="標楷體"/>
          <w:sz w:val="28"/>
        </w:rPr>
        <w:t xml:space="preserve">    </w:t>
      </w:r>
      <w:r>
        <w:rPr>
          <w:rFonts w:eastAsia="標楷體"/>
          <w:sz w:val="28"/>
        </w:rPr>
        <w:t>（</w:t>
      </w:r>
      <w:r>
        <w:rPr>
          <w:rFonts w:eastAsia="標楷體"/>
          <w:sz w:val="28"/>
        </w:rPr>
        <w:t xml:space="preserve"> </w:t>
      </w:r>
      <w:r>
        <w:rPr>
          <w:rFonts w:eastAsia="標楷體"/>
          <w:sz w:val="28"/>
        </w:rPr>
        <w:t>）光碟片</w:t>
      </w:r>
      <w:r>
        <w:rPr>
          <w:rFonts w:eastAsia="標楷體"/>
          <w:sz w:val="28"/>
        </w:rPr>
        <w:t xml:space="preserve">  </w:t>
      </w:r>
      <w:r>
        <w:rPr>
          <w:rFonts w:eastAsia="標楷體"/>
          <w:sz w:val="28"/>
        </w:rPr>
        <w:t>（</w:t>
      </w:r>
      <w:r>
        <w:rPr>
          <w:rFonts w:eastAsia="標楷體"/>
          <w:sz w:val="28"/>
        </w:rPr>
        <w:t xml:space="preserve"> </w:t>
      </w:r>
      <w:r>
        <w:rPr>
          <w:rFonts w:eastAsia="標楷體"/>
          <w:sz w:val="28"/>
        </w:rPr>
        <w:t>）其他</w:t>
      </w:r>
    </w:p>
    <w:p w:rsidR="0009272D" w:rsidRDefault="00DE7AB3">
      <w:pPr>
        <w:numPr>
          <w:ilvl w:val="0"/>
          <w:numId w:val="2"/>
        </w:numPr>
        <w:snapToGrid w:val="0"/>
        <w:jc w:val="both"/>
        <w:rPr>
          <w:rFonts w:eastAsia="標楷體"/>
          <w:sz w:val="28"/>
        </w:rPr>
      </w:pPr>
      <w:r>
        <w:rPr>
          <w:rFonts w:eastAsia="標楷體"/>
          <w:sz w:val="28"/>
        </w:rPr>
        <w:t>資料範圍、週期及時效</w:t>
      </w:r>
    </w:p>
    <w:p w:rsidR="0009272D" w:rsidRDefault="00DE7AB3">
      <w:pPr>
        <w:numPr>
          <w:ilvl w:val="1"/>
          <w:numId w:val="2"/>
        </w:numPr>
        <w:tabs>
          <w:tab w:val="left" w:pos="720"/>
        </w:tabs>
        <w:snapToGrid w:val="0"/>
        <w:ind w:left="3601" w:hanging="3119"/>
        <w:jc w:val="both"/>
        <w:rPr>
          <w:rFonts w:eastAsia="標楷體"/>
          <w:sz w:val="28"/>
        </w:rPr>
      </w:pPr>
      <w:r>
        <w:rPr>
          <w:rFonts w:eastAsia="標楷體"/>
          <w:sz w:val="28"/>
        </w:rPr>
        <w:t>統計地區範圍及對象：</w:t>
      </w:r>
      <w:r>
        <w:rPr>
          <w:rFonts w:eastAsia="標楷體"/>
          <w:sz w:val="28"/>
        </w:rPr>
        <w:t>市府各政風機構辦理之預防案件。</w:t>
      </w:r>
    </w:p>
    <w:p w:rsidR="0009272D" w:rsidRDefault="00DE7AB3">
      <w:pPr>
        <w:numPr>
          <w:ilvl w:val="1"/>
          <w:numId w:val="2"/>
        </w:numPr>
        <w:tabs>
          <w:tab w:val="left" w:pos="720"/>
        </w:tabs>
        <w:snapToGrid w:val="0"/>
        <w:ind w:left="3601" w:hanging="3119"/>
        <w:jc w:val="both"/>
        <w:rPr>
          <w:rFonts w:eastAsia="標楷體"/>
          <w:sz w:val="28"/>
        </w:rPr>
      </w:pPr>
      <w:r>
        <w:rPr>
          <w:rFonts w:eastAsia="標楷體"/>
          <w:sz w:val="28"/>
        </w:rPr>
        <w:t>統計標準時間：以每年元月一日至十二月卅一日之事實為準。</w:t>
      </w:r>
    </w:p>
    <w:p w:rsidR="0009272D" w:rsidRDefault="00DE7AB3">
      <w:pPr>
        <w:numPr>
          <w:ilvl w:val="1"/>
          <w:numId w:val="2"/>
        </w:numPr>
        <w:tabs>
          <w:tab w:val="left" w:pos="720"/>
        </w:tabs>
        <w:snapToGrid w:val="0"/>
        <w:ind w:left="3317" w:hanging="2835"/>
        <w:jc w:val="both"/>
        <w:rPr>
          <w:rFonts w:eastAsia="標楷體"/>
          <w:sz w:val="28"/>
        </w:rPr>
      </w:pPr>
      <w:r>
        <w:rPr>
          <w:rFonts w:eastAsia="標楷體"/>
          <w:sz w:val="28"/>
        </w:rPr>
        <w:t>統計項目定義：</w:t>
      </w:r>
    </w:p>
    <w:p w:rsidR="0009272D" w:rsidRDefault="00DE7AB3">
      <w:pPr>
        <w:pStyle w:val="2"/>
        <w:numPr>
          <w:ilvl w:val="0"/>
          <w:numId w:val="3"/>
        </w:numPr>
        <w:rPr>
          <w:rFonts w:ascii="標楷體" w:eastAsia="標楷體" w:hAnsi="標楷體"/>
        </w:rPr>
      </w:pPr>
      <w:r>
        <w:rPr>
          <w:rFonts w:ascii="標楷體" w:eastAsia="標楷體" w:hAnsi="標楷體"/>
        </w:rPr>
        <w:t>廉政社會參與：為建立民眾、社區、學校、企業、民間團體的廉政意識，並結合機關及民間資源辦理各項廉政作為，如：擇定攸關民眾權益的廉政議題，召開廉政座談會或論壇；扎根學童及青年學子誠信品德教育，進入本市公私立校園倡廉反貪，另結合機關活動及在地民俗節慶時機辦理社會宣導，落實市長志工首都之施政主軸及行銷本府廉能施政理念，結合志工力量及資源，協助本處辦理廉政宣導、全民督工、民隱民瘼及施政興革事項反映等，藉以達成清廉市</w:t>
      </w:r>
      <w:r>
        <w:rPr>
          <w:rFonts w:ascii="標楷體" w:eastAsia="標楷體" w:hAnsi="標楷體"/>
        </w:rPr>
        <w:t>政的目的。</w:t>
      </w:r>
    </w:p>
    <w:p w:rsidR="0009272D" w:rsidRDefault="00DE7AB3">
      <w:pPr>
        <w:pStyle w:val="2"/>
        <w:numPr>
          <w:ilvl w:val="0"/>
          <w:numId w:val="3"/>
        </w:numPr>
        <w:rPr>
          <w:rFonts w:ascii="標楷體" w:eastAsia="標楷體" w:hAnsi="標楷體"/>
        </w:rPr>
      </w:pPr>
      <w:r>
        <w:rPr>
          <w:rFonts w:ascii="標楷體" w:eastAsia="標楷體" w:hAnsi="標楷體"/>
        </w:rPr>
        <w:t>專案稽核：針對本府各機關易滋弊端業務辦理專案稽核，期前預防違失弊端，提供改進建言與正確的反饋資訊，增進機關興利防弊效果。</w:t>
      </w:r>
    </w:p>
    <w:p w:rsidR="0009272D" w:rsidRDefault="00DE7AB3">
      <w:pPr>
        <w:pStyle w:val="2"/>
        <w:numPr>
          <w:ilvl w:val="0"/>
          <w:numId w:val="3"/>
        </w:numPr>
        <w:rPr>
          <w:rFonts w:ascii="標楷體" w:eastAsia="標楷體" w:hAnsi="標楷體"/>
          <w:szCs w:val="28"/>
        </w:rPr>
      </w:pPr>
      <w:r>
        <w:rPr>
          <w:rFonts w:ascii="標楷體" w:eastAsia="標楷體" w:hAnsi="標楷體"/>
          <w:szCs w:val="28"/>
        </w:rPr>
        <w:lastRenderedPageBreak/>
        <w:t>公共工程抽查驗：針對本府所屬機關暨學校施工中工程實地抽驗，透過查核書面資料完整性，及檢視現場施工與契約圖說、施工規範是否相符，並透過鑽心試體取樣送驗，以確保工程施工品質。</w:t>
      </w:r>
    </w:p>
    <w:p w:rsidR="0009272D" w:rsidRDefault="00DE7AB3">
      <w:pPr>
        <w:pStyle w:val="2"/>
        <w:numPr>
          <w:ilvl w:val="0"/>
          <w:numId w:val="3"/>
        </w:numPr>
        <w:rPr>
          <w:rFonts w:ascii="標楷體" w:eastAsia="標楷體" w:hAnsi="標楷體"/>
        </w:rPr>
      </w:pPr>
      <w:r>
        <w:rPr>
          <w:rFonts w:ascii="標楷體" w:eastAsia="標楷體" w:hAnsi="標楷體"/>
        </w:rPr>
        <w:t>廉能透明獎：為貫徹本府「廉能、開放、效率、品質」施政理念，落實廉能政府之目標，鼓勵本府各機關推動建置本府各機關電子化政府行政透明化措施，擴大民眾參與管道，每年度由各機關擇定透明化業務參與「廉能透明獎」活動，</w:t>
      </w:r>
      <w:r>
        <w:rPr>
          <w:rFonts w:ascii="標楷體" w:eastAsia="標楷體" w:hAnsi="標楷體"/>
        </w:rPr>
        <w:t>促進行政透明及簡政便民。</w:t>
      </w:r>
    </w:p>
    <w:p w:rsidR="0009272D" w:rsidRDefault="00DE7AB3">
      <w:pPr>
        <w:snapToGrid w:val="0"/>
        <w:ind w:left="800" w:hanging="560"/>
        <w:jc w:val="both"/>
      </w:pPr>
      <w:r>
        <w:rPr>
          <w:rFonts w:eastAsia="標楷體"/>
          <w:sz w:val="28"/>
        </w:rPr>
        <w:t>＊</w:t>
      </w:r>
      <w:r>
        <w:rPr>
          <w:rFonts w:eastAsia="標楷體"/>
          <w:sz w:val="28"/>
        </w:rPr>
        <w:t xml:space="preserve"> </w:t>
      </w:r>
      <w:r>
        <w:rPr>
          <w:rFonts w:eastAsia="標楷體"/>
          <w:sz w:val="28"/>
        </w:rPr>
        <w:t>統計單位：件、人次、場次、個。</w:t>
      </w:r>
    </w:p>
    <w:p w:rsidR="0009272D" w:rsidRDefault="00DE7AB3">
      <w:pPr>
        <w:snapToGrid w:val="0"/>
        <w:ind w:left="641" w:hanging="420"/>
        <w:jc w:val="both"/>
      </w:pPr>
      <w:r>
        <w:rPr>
          <w:rFonts w:ascii="標楷體" w:eastAsia="標楷體" w:hAnsi="標楷體"/>
          <w:sz w:val="28"/>
        </w:rPr>
        <w:t>＊</w:t>
      </w:r>
      <w:r>
        <w:rPr>
          <w:rFonts w:ascii="標楷體" w:eastAsia="標楷體" w:hAnsi="標楷體"/>
          <w:sz w:val="28"/>
        </w:rPr>
        <w:t xml:space="preserve"> </w:t>
      </w:r>
      <w:r>
        <w:rPr>
          <w:rFonts w:eastAsia="標楷體"/>
          <w:sz w:val="28"/>
          <w:szCs w:val="28"/>
        </w:rPr>
        <w:t>統計分類：</w:t>
      </w:r>
      <w:r>
        <w:rPr>
          <w:rFonts w:ascii="標楷體" w:eastAsia="標楷體" w:hAnsi="標楷體"/>
          <w:sz w:val="28"/>
          <w:szCs w:val="28"/>
        </w:rPr>
        <w:t>縱行分別以、廉政社會參與、專案稽核、公共工程抽查驗、</w:t>
      </w:r>
      <w:r>
        <w:rPr>
          <w:rFonts w:ascii="標楷體" w:eastAsia="標楷體" w:hAnsi="標楷體"/>
          <w:sz w:val="28"/>
        </w:rPr>
        <w:t>廉能透明獎</w:t>
      </w:r>
      <w:r>
        <w:rPr>
          <w:rFonts w:ascii="標楷體" w:eastAsia="標楷體" w:hAnsi="標楷體"/>
          <w:sz w:val="28"/>
          <w:szCs w:val="28"/>
        </w:rPr>
        <w:t>為分類標準；橫列以月份為分類標準。</w:t>
      </w:r>
    </w:p>
    <w:p w:rsidR="0009272D" w:rsidRDefault="00DE7AB3">
      <w:pPr>
        <w:snapToGrid w:val="0"/>
        <w:spacing w:line="40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發布週期：年</w:t>
      </w:r>
    </w:p>
    <w:p w:rsidR="0009272D" w:rsidRDefault="00DE7AB3">
      <w:pPr>
        <w:spacing w:line="40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時效</w:t>
      </w:r>
      <w:r>
        <w:rPr>
          <w:rFonts w:ascii="標楷體" w:eastAsia="標楷體" w:hAnsi="標楷體"/>
          <w:sz w:val="28"/>
        </w:rPr>
        <w:t>(</w:t>
      </w:r>
      <w:r>
        <w:rPr>
          <w:rFonts w:ascii="標楷體" w:eastAsia="標楷體" w:hAnsi="標楷體"/>
          <w:sz w:val="28"/>
        </w:rPr>
        <w:t>指統計標準時間至資料發布時間之間隔時間</w:t>
      </w:r>
      <w:r>
        <w:rPr>
          <w:rFonts w:ascii="標楷體" w:eastAsia="標楷體" w:hAnsi="標楷體"/>
          <w:sz w:val="28"/>
        </w:rPr>
        <w:t>)</w:t>
      </w:r>
      <w:r>
        <w:rPr>
          <w:rFonts w:ascii="標楷體" w:eastAsia="標楷體" w:hAnsi="標楷體"/>
          <w:sz w:val="28"/>
        </w:rPr>
        <w:t>：</w:t>
      </w:r>
      <w:r>
        <w:rPr>
          <w:rFonts w:ascii="標楷體" w:eastAsia="標楷體" w:hAnsi="標楷體"/>
          <w:sz w:val="28"/>
        </w:rPr>
        <w:t>2</w:t>
      </w:r>
      <w:r>
        <w:rPr>
          <w:rFonts w:ascii="標楷體" w:eastAsia="標楷體" w:hAnsi="標楷體"/>
          <w:sz w:val="28"/>
        </w:rPr>
        <w:t>個月</w:t>
      </w:r>
    </w:p>
    <w:p w:rsidR="0009272D" w:rsidRDefault="00DE7AB3">
      <w:pPr>
        <w:spacing w:line="40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資料變革：無</w:t>
      </w:r>
    </w:p>
    <w:p w:rsidR="0009272D" w:rsidRDefault="0009272D">
      <w:pPr>
        <w:spacing w:line="320" w:lineRule="exact"/>
        <w:ind w:left="3720" w:hanging="3360"/>
        <w:jc w:val="both"/>
        <w:rPr>
          <w:rFonts w:eastAsia="標楷體"/>
          <w:sz w:val="28"/>
        </w:rPr>
      </w:pPr>
    </w:p>
    <w:p w:rsidR="0009272D" w:rsidRDefault="00DE7AB3">
      <w:pPr>
        <w:numPr>
          <w:ilvl w:val="0"/>
          <w:numId w:val="2"/>
        </w:numPr>
        <w:snapToGrid w:val="0"/>
        <w:jc w:val="both"/>
        <w:rPr>
          <w:rFonts w:eastAsia="標楷體"/>
          <w:sz w:val="28"/>
        </w:rPr>
      </w:pPr>
      <w:r>
        <w:rPr>
          <w:rFonts w:eastAsia="標楷體"/>
          <w:sz w:val="28"/>
        </w:rPr>
        <w:t>公開資料發布訊息</w:t>
      </w:r>
    </w:p>
    <w:p w:rsidR="0009272D" w:rsidRDefault="00DE7AB3">
      <w:pPr>
        <w:snapToGrid w:val="0"/>
        <w:ind w:left="700" w:hanging="700"/>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預告發布日期：次年二月底。</w:t>
      </w:r>
      <w:r>
        <w:rPr>
          <w:rFonts w:eastAsia="標楷體"/>
          <w:sz w:val="28"/>
        </w:rPr>
        <w:t>(</w:t>
      </w:r>
      <w:r>
        <w:rPr>
          <w:rFonts w:eastAsia="標楷體"/>
          <w:sz w:val="28"/>
        </w:rPr>
        <w:t>原訂預告發布日期如遇例假日或國定假日則延至下一個工作日發布</w:t>
      </w:r>
      <w:r>
        <w:rPr>
          <w:rFonts w:eastAsia="標楷體"/>
          <w:sz w:val="28"/>
        </w:rPr>
        <w:t>)</w:t>
      </w:r>
    </w:p>
    <w:p w:rsidR="0009272D" w:rsidRDefault="00DE7AB3">
      <w:pPr>
        <w:snapToGrid w:val="0"/>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同步發送單位：臺中市政府主計處。</w:t>
      </w:r>
    </w:p>
    <w:p w:rsidR="0009272D" w:rsidRDefault="00DE7AB3">
      <w:pPr>
        <w:numPr>
          <w:ilvl w:val="0"/>
          <w:numId w:val="2"/>
        </w:numPr>
        <w:snapToGrid w:val="0"/>
        <w:spacing w:before="180"/>
        <w:jc w:val="both"/>
        <w:rPr>
          <w:rFonts w:eastAsia="標楷體"/>
          <w:sz w:val="28"/>
        </w:rPr>
      </w:pPr>
      <w:r>
        <w:rPr>
          <w:rFonts w:eastAsia="標楷體"/>
          <w:sz w:val="28"/>
        </w:rPr>
        <w:t>資料品質</w:t>
      </w:r>
    </w:p>
    <w:p w:rsidR="0009272D" w:rsidRDefault="00DE7AB3">
      <w:pPr>
        <w:snapToGrid w:val="0"/>
        <w:ind w:left="560" w:hanging="560"/>
        <w:jc w:val="both"/>
        <w:rPr>
          <w:rFonts w:eastAsia="標楷體"/>
          <w:sz w:val="28"/>
        </w:rPr>
      </w:pPr>
      <w:r>
        <w:rPr>
          <w:rFonts w:eastAsia="標楷體"/>
          <w:sz w:val="28"/>
        </w:rPr>
        <w:t xml:space="preserve">  </w:t>
      </w:r>
      <w:r>
        <w:rPr>
          <w:rFonts w:eastAsia="標楷體"/>
          <w:sz w:val="28"/>
        </w:rPr>
        <w:t>＊統計指標編製方法與資料來源說明：本處第二科依據本處暨所屬各政風機構辦理之預防案件填報資料彙編。</w:t>
      </w:r>
    </w:p>
    <w:p w:rsidR="0009272D" w:rsidRDefault="00DE7AB3">
      <w:pPr>
        <w:snapToGrid w:val="0"/>
        <w:ind w:left="560" w:hanging="560"/>
        <w:jc w:val="both"/>
      </w:pPr>
      <w:r>
        <w:rPr>
          <w:rFonts w:eastAsia="標楷體"/>
          <w:sz w:val="28"/>
          <w:szCs w:val="28"/>
        </w:rPr>
        <w:t xml:space="preserve">  </w:t>
      </w:r>
      <w:r>
        <w:rPr>
          <w:rFonts w:eastAsia="標楷體"/>
          <w:sz w:val="28"/>
          <w:szCs w:val="28"/>
        </w:rPr>
        <w:t>＊</w:t>
      </w:r>
      <w:r>
        <w:rPr>
          <w:rFonts w:ascii="標楷體" w:eastAsia="標楷體" w:hAnsi="標楷體"/>
          <w:sz w:val="28"/>
          <w:szCs w:val="28"/>
        </w:rPr>
        <w:t>統計資料交叉查核及確保資料合理性之機制：以檢誤條件查核</w:t>
      </w:r>
      <w:r>
        <w:rPr>
          <w:rFonts w:ascii="標楷體" w:eastAsia="標楷體" w:hAnsi="標楷體"/>
          <w:sz w:val="28"/>
          <w:szCs w:val="28"/>
        </w:rPr>
        <w:t xml:space="preserve">  </w:t>
      </w:r>
      <w:r>
        <w:rPr>
          <w:rFonts w:ascii="標楷體" w:eastAsia="標楷體" w:hAnsi="標楷體"/>
          <w:sz w:val="28"/>
          <w:szCs w:val="28"/>
        </w:rPr>
        <w:t>資料，並經各該主管機關及本府主計處審核，以確保資料合理性。</w:t>
      </w:r>
    </w:p>
    <w:p w:rsidR="0009272D" w:rsidRDefault="00DE7AB3">
      <w:pPr>
        <w:spacing w:line="320" w:lineRule="exact"/>
        <w:jc w:val="both"/>
        <w:rPr>
          <w:rFonts w:eastAsia="標楷體"/>
          <w:sz w:val="28"/>
        </w:rPr>
      </w:pPr>
      <w:r>
        <w:rPr>
          <w:rFonts w:eastAsia="標楷體"/>
          <w:sz w:val="28"/>
        </w:rPr>
        <w:t>六、須注意及預定改變之事項：表號</w:t>
      </w:r>
      <w:r>
        <w:rPr>
          <w:rFonts w:eastAsia="標楷體"/>
          <w:sz w:val="28"/>
        </w:rPr>
        <w:t>10999-04-02-2</w:t>
      </w:r>
      <w:r>
        <w:rPr>
          <w:rFonts w:eastAsia="標楷體"/>
          <w:sz w:val="28"/>
        </w:rPr>
        <w:t>。</w:t>
      </w:r>
    </w:p>
    <w:p w:rsidR="0009272D" w:rsidRDefault="00DE7AB3">
      <w:pPr>
        <w:spacing w:before="180" w:line="320" w:lineRule="exact"/>
        <w:jc w:val="both"/>
      </w:pPr>
      <w:r>
        <w:rPr>
          <w:rFonts w:eastAsia="標楷體"/>
          <w:sz w:val="28"/>
        </w:rPr>
        <w:t>七、其他事項：無。</w:t>
      </w:r>
    </w:p>
    <w:sectPr w:rsidR="0009272D">
      <w:footerReference w:type="default" r:id="rId8"/>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E7AB3">
      <w:r>
        <w:separator/>
      </w:r>
    </w:p>
  </w:endnote>
  <w:endnote w:type="continuationSeparator" w:id="0">
    <w:p w:rsidR="00000000" w:rsidRDefault="00DE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253" w:rsidRDefault="00DE7AB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768834817"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00253" w:rsidRDefault="00DE7AB3">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rsidR="00E00253" w:rsidRDefault="00DE7AB3">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E7AB3">
      <w:r>
        <w:rPr>
          <w:color w:val="000000"/>
        </w:rPr>
        <w:separator/>
      </w:r>
    </w:p>
  </w:footnote>
  <w:footnote w:type="continuationSeparator" w:id="0">
    <w:p w:rsidR="00000000" w:rsidRDefault="00DE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E19"/>
    <w:multiLevelType w:val="multilevel"/>
    <w:tmpl w:val="E7345574"/>
    <w:lvl w:ilvl="0">
      <w:start w:val="1"/>
      <w:numFmt w:val="taiwaneseCountingThousand"/>
      <w:lvlText w:val="%1、"/>
      <w:lvlJc w:val="left"/>
      <w:pPr>
        <w:ind w:left="720" w:hanging="720"/>
      </w:pPr>
    </w:lvl>
    <w:lvl w:ilvl="1">
      <w:numFmt w:val="bullet"/>
      <w:lvlText w:val="＊"/>
      <w:lvlJc w:val="left"/>
      <w:pPr>
        <w:ind w:left="720" w:hanging="360"/>
      </w:pPr>
      <w:rPr>
        <w:rFonts w:ascii="標楷體" w:eastAsia="標楷體" w:hAnsi="標楷體" w:cs="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952FE"/>
    <w:multiLevelType w:val="multilevel"/>
    <w:tmpl w:val="2CA06FCA"/>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AC67BA9"/>
    <w:multiLevelType w:val="multilevel"/>
    <w:tmpl w:val="8872F148"/>
    <w:styleLink w:val="LFO5"/>
    <w:lvl w:ilvl="0">
      <w:start w:val="1"/>
      <w:numFmt w:val="taiwaneseCountingThousand"/>
      <w:pStyle w:val="3"/>
      <w:lvlText w:val="(%1)"/>
      <w:lvlJc w:val="left"/>
      <w:pPr>
        <w:ind w:left="1008" w:hanging="528"/>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75315237">
    <w:abstractNumId w:val="2"/>
  </w:num>
  <w:num w:numId="2" w16cid:durableId="1710689008">
    <w:abstractNumId w:val="0"/>
  </w:num>
  <w:num w:numId="3" w16cid:durableId="209408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9272D"/>
    <w:rsid w:val="0009272D"/>
    <w:rsid w:val="00DE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2C2AD3-409B-48E4-AC71-CE18BECF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4900" w:hanging="4060"/>
      <w:jc w:val="both"/>
    </w:pPr>
    <w:rPr>
      <w:rFonts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customStyle="1" w:styleId="2">
    <w:name w:val="內文2"/>
    <w:basedOn w:val="a"/>
    <w:pPr>
      <w:spacing w:line="440" w:lineRule="exact"/>
      <w:ind w:left="600"/>
    </w:pPr>
    <w:rPr>
      <w:sz w:val="28"/>
    </w:rPr>
  </w:style>
  <w:style w:type="paragraph" w:customStyle="1" w:styleId="a6">
    <w:name w:val="內文１"/>
    <w:basedOn w:val="a"/>
    <w:pPr>
      <w:spacing w:line="440" w:lineRule="exact"/>
    </w:pPr>
    <w:rPr>
      <w:sz w:val="28"/>
    </w:rPr>
  </w:style>
  <w:style w:type="paragraph" w:customStyle="1" w:styleId="3">
    <w:name w:val="3"/>
    <w:basedOn w:val="a"/>
    <w:pPr>
      <w:numPr>
        <w:numId w:val="1"/>
      </w:numPr>
      <w:tabs>
        <w:tab w:val="left" w:pos="240"/>
      </w:tabs>
      <w:spacing w:line="440" w:lineRule="exact"/>
    </w:pPr>
  </w:style>
  <w:style w:type="character" w:styleId="a7">
    <w:name w:val="Hyperlink"/>
    <w:rPr>
      <w:color w:val="0000FF"/>
      <w:u w:val="single"/>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numbering" w:customStyle="1" w:styleId="LFO5">
    <w:name w:val="LFO5"/>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vstat.taichung.gov.tw/TCSTAT/Page/kcg01_2.aspx?Mid1=38723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高雄市政府捷運工程局</dc:creator>
  <cp:lastModifiedBy>cws</cp:lastModifiedBy>
  <cp:revision>2</cp:revision>
  <cp:lastPrinted>2023-12-06T08:35:00Z</cp:lastPrinted>
  <dcterms:created xsi:type="dcterms:W3CDTF">2023-12-19T06:33:00Z</dcterms:created>
  <dcterms:modified xsi:type="dcterms:W3CDTF">2023-12-19T06:33:00Z</dcterms:modified>
</cp:coreProperties>
</file>