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3E" w:rsidRDefault="0022166D">
      <w:pPr>
        <w:spacing w:line="0" w:lineRule="atLeast"/>
        <w:jc w:val="center"/>
      </w:pPr>
      <w:bookmarkStart w:id="0" w:name="_GoBack"/>
      <w:bookmarkEnd w:id="0"/>
      <w:r>
        <w:rPr>
          <w:rFonts w:eastAsia="標楷體"/>
          <w:spacing w:val="-4"/>
        </w:rPr>
        <w:t>統計資料背景說明</w:t>
      </w:r>
    </w:p>
    <w:p w:rsidR="003F7A3E" w:rsidRDefault="0022166D">
      <w:pPr>
        <w:spacing w:line="0" w:lineRule="atLeast"/>
      </w:pPr>
      <w:r>
        <w:rPr>
          <w:rFonts w:ascii="標楷體" w:eastAsia="標楷體" w:hAnsi="標楷體"/>
          <w:spacing w:val="-4"/>
        </w:rPr>
        <w:t>資料種類：社會福利服務統計</w:t>
      </w:r>
    </w:p>
    <w:p w:rsidR="003F7A3E" w:rsidRDefault="0022166D">
      <w:pPr>
        <w:spacing w:line="0" w:lineRule="atLeast"/>
      </w:pPr>
      <w:r>
        <w:rPr>
          <w:rFonts w:eastAsia="標楷體"/>
          <w:spacing w:val="-4"/>
        </w:rPr>
        <w:t>資料項目：臺中市兒童及少年家庭寄養概況</w:t>
      </w:r>
    </w:p>
    <w:p w:rsidR="003F7A3E" w:rsidRDefault="003F7A3E">
      <w:pPr>
        <w:spacing w:line="0" w:lineRule="atLeast"/>
        <w:jc w:val="center"/>
        <w:rPr>
          <w:rFonts w:eastAsia="標楷體"/>
          <w:spacing w:val="-4"/>
        </w:rPr>
      </w:pPr>
    </w:p>
    <w:p w:rsidR="003F7A3E" w:rsidRDefault="0022166D">
      <w:pPr>
        <w:spacing w:line="0" w:lineRule="atLeast"/>
        <w:jc w:val="both"/>
        <w:rPr>
          <w:rFonts w:eastAsia="標楷體"/>
        </w:rPr>
      </w:pPr>
      <w:r>
        <w:rPr>
          <w:rFonts w:eastAsia="標楷體"/>
        </w:rPr>
        <w:t>一、發布及編製機關單位</w:t>
      </w:r>
    </w:p>
    <w:p w:rsidR="003F7A3E" w:rsidRDefault="0022166D">
      <w:pPr>
        <w:numPr>
          <w:ilvl w:val="0"/>
          <w:numId w:val="1"/>
        </w:numPr>
        <w:spacing w:line="0" w:lineRule="atLeast"/>
        <w:jc w:val="both"/>
        <w:rPr>
          <w:rFonts w:eastAsia="標楷體"/>
          <w:spacing w:val="-4"/>
        </w:rPr>
      </w:pPr>
      <w:r>
        <w:rPr>
          <w:rFonts w:eastAsia="標楷體"/>
          <w:spacing w:val="-4"/>
        </w:rPr>
        <w:t>發布機關、單位：臺中市家庭暴力及性侵害防治中心會計單位</w:t>
      </w:r>
    </w:p>
    <w:p w:rsidR="003F7A3E" w:rsidRDefault="0022166D">
      <w:pPr>
        <w:numPr>
          <w:ilvl w:val="0"/>
          <w:numId w:val="1"/>
        </w:numPr>
        <w:spacing w:line="0" w:lineRule="atLeast"/>
        <w:jc w:val="both"/>
      </w:pPr>
      <w:r>
        <w:rPr>
          <w:rFonts w:eastAsia="標楷體"/>
        </w:rPr>
        <w:t>編製單位：</w:t>
      </w:r>
      <w:r>
        <w:rPr>
          <w:rFonts w:eastAsia="標楷體"/>
          <w:spacing w:val="-4"/>
        </w:rPr>
        <w:t>臺中市家庭暴力及性侵害防治中心綜合規劃組</w:t>
      </w:r>
    </w:p>
    <w:p w:rsidR="003F7A3E" w:rsidRDefault="0022166D">
      <w:pPr>
        <w:spacing w:line="0" w:lineRule="atLeast"/>
        <w:ind w:left="720" w:hanging="426"/>
        <w:jc w:val="both"/>
        <w:rPr>
          <w:rFonts w:eastAsia="標楷體"/>
        </w:rPr>
      </w:pPr>
      <w:r>
        <w:rPr>
          <w:rFonts w:eastAsia="標楷體"/>
        </w:rPr>
        <w:t>＊聯絡電話：</w:t>
      </w:r>
      <w:r>
        <w:rPr>
          <w:rFonts w:eastAsia="標楷體"/>
        </w:rPr>
        <w:t>04-22289111#38991</w:t>
      </w:r>
    </w:p>
    <w:p w:rsidR="003F7A3E" w:rsidRDefault="0022166D">
      <w:pPr>
        <w:spacing w:line="0" w:lineRule="atLeast"/>
        <w:ind w:left="720" w:hanging="426"/>
        <w:jc w:val="both"/>
        <w:rPr>
          <w:rFonts w:eastAsia="標楷體"/>
        </w:rPr>
      </w:pPr>
      <w:r>
        <w:rPr>
          <w:rFonts w:eastAsia="標楷體"/>
        </w:rPr>
        <w:t>＊傳真：</w:t>
      </w:r>
      <w:r>
        <w:rPr>
          <w:rFonts w:eastAsia="標楷體"/>
        </w:rPr>
        <w:t>04-25251751</w:t>
      </w:r>
    </w:p>
    <w:p w:rsidR="003F7A3E" w:rsidRDefault="0022166D">
      <w:pPr>
        <w:spacing w:line="0" w:lineRule="atLeast"/>
        <w:ind w:left="720" w:hanging="426"/>
        <w:jc w:val="both"/>
      </w:pPr>
      <w:r>
        <w:rPr>
          <w:rFonts w:eastAsia="標楷體"/>
        </w:rPr>
        <w:t>＊電子信箱：</w:t>
      </w:r>
      <w:hyperlink r:id="rId8" w:history="1">
        <w:r>
          <w:rPr>
            <w:rStyle w:val="a3"/>
            <w:rFonts w:eastAsia="標楷體"/>
          </w:rPr>
          <w:t>f50184@taichung.gov.tw</w:t>
        </w:r>
      </w:hyperlink>
    </w:p>
    <w:p w:rsidR="003F7A3E" w:rsidRDefault="0022166D">
      <w:pPr>
        <w:spacing w:line="0" w:lineRule="atLeast"/>
        <w:ind w:left="720" w:hanging="720"/>
        <w:jc w:val="both"/>
        <w:rPr>
          <w:rFonts w:eastAsia="標楷體"/>
        </w:rPr>
      </w:pPr>
      <w:r>
        <w:rPr>
          <w:rFonts w:eastAsia="標楷體"/>
        </w:rPr>
        <w:t>二、發布形式</w:t>
      </w:r>
    </w:p>
    <w:p w:rsidR="003F7A3E" w:rsidRDefault="0022166D">
      <w:pPr>
        <w:spacing w:line="0" w:lineRule="atLeast"/>
        <w:ind w:left="294"/>
        <w:jc w:val="both"/>
        <w:rPr>
          <w:rFonts w:eastAsia="標楷體"/>
        </w:rPr>
      </w:pPr>
      <w:r>
        <w:rPr>
          <w:rFonts w:eastAsia="標楷體"/>
        </w:rPr>
        <w:t>＊口頭：</w:t>
      </w:r>
    </w:p>
    <w:p w:rsidR="003F7A3E" w:rsidRDefault="0022166D">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rsidR="003F7A3E" w:rsidRDefault="0022166D">
      <w:pPr>
        <w:spacing w:line="0" w:lineRule="atLeast"/>
        <w:ind w:left="294"/>
        <w:jc w:val="both"/>
        <w:rPr>
          <w:rFonts w:eastAsia="標楷體"/>
        </w:rPr>
      </w:pPr>
      <w:r>
        <w:rPr>
          <w:rFonts w:eastAsia="標楷體"/>
        </w:rPr>
        <w:t>＊書面：</w:t>
      </w:r>
    </w:p>
    <w:p w:rsidR="003F7A3E" w:rsidRDefault="0022166D">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Wingdings 2" w:eastAsia="Wingdings 2" w:hAnsi="Wingdings 2" w:cs="Wingdings 2"/>
        </w:rPr>
        <w:t></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rsidR="003F7A3E" w:rsidRDefault="0022166D">
      <w:pPr>
        <w:spacing w:line="0" w:lineRule="atLeast"/>
        <w:ind w:left="294"/>
        <w:jc w:val="both"/>
        <w:rPr>
          <w:rFonts w:eastAsia="標楷體"/>
        </w:rPr>
      </w:pPr>
      <w:r>
        <w:rPr>
          <w:rFonts w:eastAsia="標楷體"/>
        </w:rPr>
        <w:t>＊電子媒體：</w:t>
      </w:r>
    </w:p>
    <w:p w:rsidR="003F7A3E" w:rsidRDefault="0022166D">
      <w:pPr>
        <w:spacing w:line="0" w:lineRule="atLeast"/>
        <w:ind w:left="966" w:right="-328" w:hanging="294"/>
      </w:pPr>
      <w:r>
        <w:rPr>
          <w:rFonts w:eastAsia="標楷體"/>
        </w:rPr>
        <w:t>（</w:t>
      </w:r>
      <w:r>
        <w:rPr>
          <w:rFonts w:ascii="Wingdings 2" w:eastAsia="Wingdings 2" w:hAnsi="Wingdings 2" w:cs="Wingdings 2"/>
        </w:rPr>
        <w:t></w:t>
      </w:r>
      <w:r>
        <w:rPr>
          <w:rFonts w:eastAsia="標楷體"/>
        </w:rPr>
        <w:t>）線上書刊及資料庫，網址：</w:t>
      </w:r>
    </w:p>
    <w:p w:rsidR="003F7A3E" w:rsidRDefault="0022166D">
      <w:pPr>
        <w:spacing w:line="0" w:lineRule="atLeast"/>
        <w:ind w:left="966" w:right="-328" w:hanging="294"/>
        <w:jc w:val="both"/>
      </w:pPr>
      <w:hyperlink r:id="rId9" w:history="1">
        <w:r>
          <w:rPr>
            <w:rStyle w:val="a3"/>
          </w:rPr>
          <w:t>http://govstat.taichung.gov.tw/TCSTAT/Page/kcg01_2.aspx?Mid1=387120200J</w:t>
        </w:r>
      </w:hyperlink>
    </w:p>
    <w:p w:rsidR="003F7A3E" w:rsidRDefault="0022166D">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 xml:space="preserve"> </w:t>
      </w:r>
      <w:r>
        <w:rPr>
          <w:rFonts w:eastAsia="標楷體"/>
        </w:rPr>
        <w:t>）其他</w:t>
      </w:r>
    </w:p>
    <w:p w:rsidR="003F7A3E" w:rsidRDefault="0022166D">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rsidR="003F7A3E" w:rsidRDefault="0022166D">
      <w:pPr>
        <w:spacing w:line="0" w:lineRule="atLeast"/>
        <w:ind w:left="480" w:hanging="240"/>
        <w:jc w:val="both"/>
        <w:rPr>
          <w:rFonts w:ascii="標楷體" w:eastAsia="標楷體" w:hAnsi="標楷體"/>
        </w:rPr>
      </w:pPr>
      <w:r>
        <w:rPr>
          <w:rFonts w:ascii="標楷體" w:eastAsia="標楷體" w:hAnsi="標楷體"/>
        </w:rPr>
        <w:t>＊統計地區範圍及對象：凡本市依據兒童及少年福利與權益保障法規定辦理之兒童及少年福利業務項目，均為統計對象。</w:t>
      </w:r>
    </w:p>
    <w:p w:rsidR="003F7A3E" w:rsidRDefault="0022166D">
      <w:pPr>
        <w:spacing w:line="0" w:lineRule="atLeast"/>
        <w:ind w:left="480" w:hanging="240"/>
        <w:jc w:val="both"/>
      </w:pPr>
      <w:r>
        <w:rPr>
          <w:rFonts w:ascii="標楷體" w:eastAsia="標楷體" w:hAnsi="標楷體"/>
        </w:rPr>
        <w:t>＊統計標準時間：動態資料第</w:t>
      </w:r>
      <w:r>
        <w:rPr>
          <w:rFonts w:ascii="標楷體" w:eastAsia="標楷體" w:hAnsi="標楷體"/>
        </w:rPr>
        <w:t>1</w:t>
      </w:r>
      <w:r>
        <w:rPr>
          <w:rFonts w:ascii="標楷體" w:eastAsia="標楷體" w:hAnsi="標楷體"/>
        </w:rPr>
        <w:t>季以</w:t>
      </w:r>
      <w:r>
        <w:rPr>
          <w:rFonts w:ascii="標楷體" w:eastAsia="標楷體" w:hAnsi="標楷體"/>
        </w:rPr>
        <w:t>1</w:t>
      </w:r>
      <w:r>
        <w:rPr>
          <w:rFonts w:ascii="標楷體" w:eastAsia="標楷體" w:hAnsi="標楷體"/>
        </w:rPr>
        <w:t>至</w:t>
      </w:r>
      <w:r>
        <w:rPr>
          <w:rFonts w:ascii="標楷體" w:eastAsia="標楷體" w:hAnsi="標楷體"/>
        </w:rPr>
        <w:t>3</w:t>
      </w:r>
      <w:r>
        <w:rPr>
          <w:rFonts w:ascii="標楷體" w:eastAsia="標楷體" w:hAnsi="標楷體"/>
        </w:rPr>
        <w:t>月、第</w:t>
      </w:r>
      <w:r>
        <w:rPr>
          <w:rFonts w:ascii="標楷體" w:eastAsia="標楷體" w:hAnsi="標楷體"/>
        </w:rPr>
        <w:t>2</w:t>
      </w:r>
      <w:r>
        <w:rPr>
          <w:rFonts w:ascii="標楷體" w:eastAsia="標楷體" w:hAnsi="標楷體"/>
        </w:rPr>
        <w:t>季以</w:t>
      </w:r>
      <w:r>
        <w:rPr>
          <w:rFonts w:ascii="標楷體" w:eastAsia="標楷體" w:hAnsi="標楷體"/>
        </w:rPr>
        <w:t>4</w:t>
      </w:r>
      <w:r>
        <w:rPr>
          <w:rFonts w:ascii="標楷體" w:eastAsia="標楷體" w:hAnsi="標楷體"/>
        </w:rPr>
        <w:t>至</w:t>
      </w:r>
      <w:r>
        <w:rPr>
          <w:rFonts w:ascii="標楷體" w:eastAsia="標楷體" w:hAnsi="標楷體"/>
        </w:rPr>
        <w:t>6</w:t>
      </w:r>
      <w:r>
        <w:rPr>
          <w:rFonts w:ascii="標楷體" w:eastAsia="標楷體" w:hAnsi="標楷體"/>
        </w:rPr>
        <w:t>月、第</w:t>
      </w:r>
      <w:r>
        <w:rPr>
          <w:rFonts w:ascii="標楷體" w:eastAsia="標楷體" w:hAnsi="標楷體"/>
        </w:rPr>
        <w:t>3</w:t>
      </w:r>
      <w:r>
        <w:rPr>
          <w:rFonts w:ascii="標楷體" w:eastAsia="標楷體" w:hAnsi="標楷體"/>
        </w:rPr>
        <w:t>季以</w:t>
      </w:r>
      <w:r>
        <w:rPr>
          <w:rFonts w:ascii="標楷體" w:eastAsia="標楷體" w:hAnsi="標楷體"/>
        </w:rPr>
        <w:t>7</w:t>
      </w:r>
      <w:r>
        <w:rPr>
          <w:rFonts w:ascii="標楷體" w:eastAsia="標楷體" w:hAnsi="標楷體"/>
        </w:rPr>
        <w:t>至</w:t>
      </w:r>
      <w:r>
        <w:rPr>
          <w:rFonts w:ascii="標楷體" w:eastAsia="標楷體" w:hAnsi="標楷體"/>
        </w:rPr>
        <w:t>9</w:t>
      </w:r>
      <w:r>
        <w:rPr>
          <w:rFonts w:ascii="標楷體" w:eastAsia="標楷體" w:hAnsi="標楷體"/>
        </w:rPr>
        <w:t>月、第</w:t>
      </w:r>
      <w:r>
        <w:rPr>
          <w:rFonts w:ascii="標楷體" w:eastAsia="標楷體" w:hAnsi="標楷體"/>
        </w:rPr>
        <w:t>4</w:t>
      </w:r>
      <w:r>
        <w:rPr>
          <w:rFonts w:ascii="標楷體" w:eastAsia="標楷體" w:hAnsi="標楷體"/>
        </w:rPr>
        <w:t>季以</w:t>
      </w:r>
      <w:r>
        <w:rPr>
          <w:rFonts w:ascii="標楷體" w:eastAsia="標楷體" w:hAnsi="標楷體"/>
        </w:rPr>
        <w:t>10</w:t>
      </w:r>
      <w:r>
        <w:rPr>
          <w:rFonts w:ascii="標楷體" w:eastAsia="標楷體" w:hAnsi="標楷體"/>
        </w:rPr>
        <w:t>至</w:t>
      </w:r>
      <w:r>
        <w:rPr>
          <w:rFonts w:ascii="標楷體" w:eastAsia="標楷體" w:hAnsi="標楷體"/>
        </w:rPr>
        <w:t>12</w:t>
      </w:r>
      <w:r>
        <w:rPr>
          <w:rFonts w:ascii="標楷體" w:eastAsia="標楷體" w:hAnsi="標楷體"/>
        </w:rPr>
        <w:t>月之事實為準；靜態資料以</w:t>
      </w:r>
      <w:r>
        <w:rPr>
          <w:rFonts w:ascii="標楷體" w:eastAsia="標楷體" w:hAnsi="標楷體"/>
        </w:rPr>
        <w:t>3</w:t>
      </w:r>
      <w:r>
        <w:rPr>
          <w:rFonts w:ascii="標楷體" w:eastAsia="標楷體" w:hAnsi="標楷體"/>
        </w:rPr>
        <w:t>月底、</w:t>
      </w:r>
      <w:r>
        <w:rPr>
          <w:rFonts w:ascii="標楷體" w:eastAsia="標楷體" w:hAnsi="標楷體"/>
        </w:rPr>
        <w:t>6</w:t>
      </w:r>
      <w:r>
        <w:rPr>
          <w:rFonts w:ascii="標楷體" w:eastAsia="標楷體" w:hAnsi="標楷體"/>
        </w:rPr>
        <w:t>月底、</w:t>
      </w:r>
      <w:r>
        <w:rPr>
          <w:rFonts w:ascii="標楷體" w:eastAsia="標楷體" w:hAnsi="標楷體"/>
        </w:rPr>
        <w:t>9</w:t>
      </w:r>
      <w:r>
        <w:rPr>
          <w:rFonts w:ascii="標楷體" w:eastAsia="標楷體" w:hAnsi="標楷體"/>
        </w:rPr>
        <w:t>月底、</w:t>
      </w:r>
      <w:r>
        <w:rPr>
          <w:rFonts w:ascii="標楷體" w:eastAsia="標楷體" w:hAnsi="標楷體"/>
        </w:rPr>
        <w:t>12</w:t>
      </w:r>
      <w:r>
        <w:rPr>
          <w:rFonts w:ascii="標楷體" w:eastAsia="標楷體" w:hAnsi="標楷體"/>
        </w:rPr>
        <w:t>月底之事實為準。</w:t>
      </w:r>
    </w:p>
    <w:p w:rsidR="003F7A3E" w:rsidRDefault="0022166D">
      <w:pPr>
        <w:spacing w:line="0" w:lineRule="atLeast"/>
        <w:ind w:left="480" w:hanging="240"/>
        <w:jc w:val="both"/>
        <w:rPr>
          <w:rFonts w:ascii="標楷體" w:eastAsia="標楷體" w:hAnsi="標楷體"/>
        </w:rPr>
      </w:pPr>
      <w:r>
        <w:rPr>
          <w:rFonts w:ascii="標楷體" w:eastAsia="標楷體" w:hAnsi="標楷體"/>
        </w:rPr>
        <w:t>＊統計項目定義：</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家庭寄養：係指將因家庭遭受變故或失依、失養或遭虐待等情事之兒童及少年安置於符合的家庭接受寄養，並於適當時機得返回其家庭之福利措施，其中寄養家庭數及被安置之兒童及少年數均以所在地</w:t>
      </w:r>
      <w:r>
        <w:rPr>
          <w:rFonts w:ascii="標楷體" w:eastAsia="標楷體" w:hAnsi="標楷體"/>
        </w:rPr>
        <w:t>(</w:t>
      </w:r>
      <w:r>
        <w:rPr>
          <w:rFonts w:ascii="標楷體" w:eastAsia="標楷體" w:hAnsi="標楷體"/>
        </w:rPr>
        <w:t>本市</w:t>
      </w:r>
      <w:r>
        <w:rPr>
          <w:rFonts w:ascii="標楷體" w:eastAsia="標楷體" w:hAnsi="標楷體"/>
        </w:rPr>
        <w:t>)</w:t>
      </w:r>
      <w:r>
        <w:rPr>
          <w:rFonts w:ascii="標楷體" w:eastAsia="標楷體" w:hAnsi="標楷體"/>
        </w:rPr>
        <w:t>為準。</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 xml:space="preserve">   1.</w:t>
      </w:r>
      <w:r>
        <w:rPr>
          <w:rFonts w:ascii="標楷體" w:eastAsia="標楷體" w:hAnsi="標楷體"/>
        </w:rPr>
        <w:t>寄養家庭戶數：係指經本府審查合格，且有安置兒童及少年之家庭戶數。</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2.</w:t>
      </w:r>
      <w:r>
        <w:rPr>
          <w:rFonts w:ascii="標楷體" w:eastAsia="標楷體" w:hAnsi="標楷體"/>
        </w:rPr>
        <w:t>本季底寄養家庭戶數＝上季底寄養家庭戶數</w:t>
      </w:r>
      <w:r>
        <w:rPr>
          <w:rFonts w:ascii="標楷體" w:eastAsia="標楷體" w:hAnsi="標楷體"/>
        </w:rPr>
        <w:t>+</w:t>
      </w:r>
      <w:r>
        <w:rPr>
          <w:rFonts w:ascii="標楷體" w:eastAsia="標楷體" w:hAnsi="標楷體"/>
        </w:rPr>
        <w:t>本季增加寄養家庭戶數</w:t>
      </w:r>
      <w:r>
        <w:rPr>
          <w:rFonts w:ascii="標楷體" w:eastAsia="標楷體" w:hAnsi="標楷體"/>
        </w:rPr>
        <w:t>-</w:t>
      </w:r>
      <w:r>
        <w:rPr>
          <w:rFonts w:ascii="標楷體" w:eastAsia="標楷體" w:hAnsi="標楷體"/>
        </w:rPr>
        <w:t>本季停止寄養家庭戶數。</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3.</w:t>
      </w:r>
      <w:r>
        <w:rPr>
          <w:rFonts w:ascii="標楷體" w:eastAsia="標楷體" w:hAnsi="標楷體"/>
        </w:rPr>
        <w:t>儲備寄養家庭戶數：係指經本府審查合格，而尚未安置兒童及少年之家庭戶數。</w:t>
      </w:r>
      <w:r>
        <w:rPr>
          <w:rFonts w:ascii="標楷體" w:eastAsia="標楷體" w:hAnsi="標楷體"/>
        </w:rPr>
        <w:t xml:space="preserve"> </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寄養兒童及少年數</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1.</w:t>
      </w:r>
      <w:r>
        <w:rPr>
          <w:rFonts w:ascii="標楷體" w:eastAsia="標楷體" w:hAnsi="標楷體"/>
        </w:rPr>
        <w:t>一般寄養：係指兒童及少年因家遭重大變故或失依之委託安置（含脆弱</w:t>
      </w:r>
      <w:r>
        <w:rPr>
          <w:rFonts w:ascii="標楷體" w:eastAsia="標楷體" w:hAnsi="標楷體"/>
        </w:rPr>
        <w:lastRenderedPageBreak/>
        <w:t>家庭處遇無效後之委託安置）等情事寄養人數。</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2.</w:t>
      </w:r>
      <w:r>
        <w:rPr>
          <w:rFonts w:ascii="標楷體" w:eastAsia="標楷體" w:hAnsi="標楷體"/>
        </w:rPr>
        <w:t>保護寄養：係指為受虐不法侵害之兒童及少年所提供緊急安置、繼續（延長）安置（法院裁定繼續安置）、委託安置或由法院裁定繼續安置轉為委託安置等保護寄養人數。</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3.</w:t>
      </w:r>
      <w:r>
        <w:rPr>
          <w:rFonts w:ascii="標楷體" w:eastAsia="標楷體" w:hAnsi="標楷體"/>
        </w:rPr>
        <w:t>本季底寄養人數＝上季底寄養人數</w:t>
      </w:r>
      <w:r>
        <w:rPr>
          <w:rFonts w:ascii="標楷體" w:eastAsia="標楷體" w:hAnsi="標楷體"/>
        </w:rPr>
        <w:t>+</w:t>
      </w:r>
      <w:r>
        <w:rPr>
          <w:rFonts w:ascii="標楷體" w:eastAsia="標楷體" w:hAnsi="標楷體"/>
        </w:rPr>
        <w:t>本季增加寄養人數</w:t>
      </w:r>
      <w:r>
        <w:rPr>
          <w:rFonts w:ascii="標楷體" w:eastAsia="標楷體" w:hAnsi="標楷體"/>
        </w:rPr>
        <w:t>-</w:t>
      </w:r>
      <w:r>
        <w:rPr>
          <w:rFonts w:ascii="標楷體" w:eastAsia="標楷體" w:hAnsi="標楷體"/>
        </w:rPr>
        <w:t>本季停止寄養人數</w:t>
      </w:r>
      <w:r>
        <w:rPr>
          <w:rFonts w:ascii="標楷體" w:eastAsia="標楷體" w:hAnsi="標楷體"/>
        </w:rPr>
        <w:t>(</w:t>
      </w:r>
      <w:r>
        <w:rPr>
          <w:rFonts w:ascii="標楷體" w:eastAsia="標楷體" w:hAnsi="標楷體"/>
        </w:rPr>
        <w:t>本季填列之「上季底寄養兒童少年人數」以本季兒童少年實際年齡人數填列</w:t>
      </w:r>
      <w:r>
        <w:rPr>
          <w:rFonts w:ascii="標楷體" w:eastAsia="標楷體" w:hAnsi="標楷體"/>
        </w:rPr>
        <w:t>)</w:t>
      </w:r>
      <w:r>
        <w:rPr>
          <w:rFonts w:ascii="標楷體" w:eastAsia="標楷體" w:hAnsi="標楷體"/>
        </w:rPr>
        <w:t>。</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寄養經費：</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1.</w:t>
      </w:r>
      <w:r>
        <w:rPr>
          <w:rFonts w:ascii="標楷體" w:eastAsia="標楷體" w:hAnsi="標楷體"/>
        </w:rPr>
        <w:t>寄養經費如有編列基金及公務預算，應合併填列，並於備註欄加以註明。</w:t>
      </w:r>
    </w:p>
    <w:p w:rsidR="003F7A3E" w:rsidRDefault="0022166D">
      <w:pPr>
        <w:suppressAutoHyphens w:val="0"/>
        <w:snapToGrid w:val="0"/>
        <w:spacing w:line="360" w:lineRule="auto"/>
        <w:ind w:left="840" w:hanging="240"/>
        <w:textAlignment w:val="auto"/>
        <w:rPr>
          <w:rFonts w:ascii="標楷體" w:eastAsia="標楷體" w:hAnsi="標楷體"/>
        </w:rPr>
      </w:pPr>
      <w:r>
        <w:rPr>
          <w:rFonts w:ascii="標楷體" w:eastAsia="標楷體" w:hAnsi="標楷體"/>
        </w:rPr>
        <w:t>2.</w:t>
      </w:r>
      <w:r>
        <w:rPr>
          <w:rFonts w:ascii="標楷體" w:eastAsia="標楷體" w:hAnsi="標楷體"/>
        </w:rPr>
        <w:t>結餘＝全</w:t>
      </w:r>
      <w:r>
        <w:rPr>
          <w:rFonts w:ascii="標楷體" w:eastAsia="標楷體" w:hAnsi="標楷體"/>
        </w:rPr>
        <w:t>年預算</w:t>
      </w:r>
      <w:r>
        <w:rPr>
          <w:rFonts w:ascii="標楷體" w:eastAsia="標楷體" w:hAnsi="標楷體"/>
        </w:rPr>
        <w:t>-</w:t>
      </w:r>
      <w:r>
        <w:rPr>
          <w:rFonts w:ascii="標楷體" w:eastAsia="標楷體" w:hAnsi="標楷體"/>
        </w:rPr>
        <w:t>本年度累計支出數。</w:t>
      </w:r>
    </w:p>
    <w:p w:rsidR="003F7A3E" w:rsidRDefault="0022166D">
      <w:pPr>
        <w:spacing w:line="0" w:lineRule="atLeast"/>
        <w:ind w:left="480" w:hanging="240"/>
        <w:jc w:val="both"/>
        <w:rPr>
          <w:rFonts w:ascii="標楷體" w:eastAsia="標楷體" w:hAnsi="標楷體"/>
        </w:rPr>
      </w:pPr>
      <w:r>
        <w:rPr>
          <w:rFonts w:ascii="標楷體" w:eastAsia="標楷體" w:hAnsi="標楷體"/>
        </w:rPr>
        <w:t>＊統計單位：戶、人、元。</w:t>
      </w:r>
    </w:p>
    <w:p w:rsidR="003F7A3E" w:rsidRDefault="0022166D">
      <w:pPr>
        <w:spacing w:line="0" w:lineRule="atLeast"/>
        <w:ind w:left="480" w:hanging="240"/>
        <w:jc w:val="both"/>
      </w:pPr>
      <w:r>
        <w:rPr>
          <w:rFonts w:ascii="標楷體" w:eastAsia="標楷體" w:hAnsi="標楷體"/>
        </w:rPr>
        <w:t>＊統計分類：依「寄養家庭戶數」、「寄養兒童及少年人數」、「寄養經費」分。</w:t>
      </w:r>
    </w:p>
    <w:p w:rsidR="003F7A3E" w:rsidRDefault="0022166D">
      <w:pPr>
        <w:spacing w:line="0" w:lineRule="atLeast"/>
        <w:ind w:left="480" w:hanging="240"/>
        <w:jc w:val="both"/>
        <w:rPr>
          <w:rFonts w:ascii="標楷體" w:eastAsia="標楷體" w:hAnsi="標楷體"/>
        </w:rPr>
      </w:pPr>
      <w:r>
        <w:rPr>
          <w:rFonts w:ascii="標楷體" w:eastAsia="標楷體" w:hAnsi="標楷體"/>
        </w:rPr>
        <w:t>＊發布週期：季。</w:t>
      </w:r>
    </w:p>
    <w:p w:rsidR="003F7A3E" w:rsidRDefault="0022166D">
      <w:pPr>
        <w:spacing w:line="0" w:lineRule="atLeast"/>
        <w:ind w:left="480" w:hanging="240"/>
        <w:jc w:val="both"/>
        <w:rPr>
          <w:rFonts w:ascii="標楷體" w:eastAsia="標楷體" w:hAnsi="標楷體"/>
        </w:rPr>
      </w:pPr>
      <w:r>
        <w:rPr>
          <w:rFonts w:ascii="標楷體" w:eastAsia="標楷體" w:hAnsi="標楷體"/>
        </w:rPr>
        <w:t>＊時效：</w:t>
      </w:r>
      <w:r>
        <w:rPr>
          <w:rFonts w:ascii="標楷體" w:eastAsia="標楷體" w:hAnsi="標楷體"/>
        </w:rPr>
        <w:t>20</w:t>
      </w:r>
      <w:r>
        <w:rPr>
          <w:rFonts w:ascii="標楷體" w:eastAsia="標楷體" w:hAnsi="標楷體"/>
        </w:rPr>
        <w:t>日。</w:t>
      </w:r>
    </w:p>
    <w:p w:rsidR="003F7A3E" w:rsidRDefault="0022166D">
      <w:pPr>
        <w:spacing w:line="0" w:lineRule="atLeast"/>
        <w:ind w:left="480" w:hanging="240"/>
        <w:jc w:val="both"/>
        <w:rPr>
          <w:rFonts w:ascii="標楷體" w:eastAsia="標楷體" w:hAnsi="標楷體"/>
        </w:rPr>
      </w:pPr>
      <w:r>
        <w:rPr>
          <w:rFonts w:ascii="標楷體" w:eastAsia="標楷體" w:hAnsi="標楷體"/>
        </w:rPr>
        <w:t>＊資料變革：無。</w:t>
      </w:r>
    </w:p>
    <w:p w:rsidR="003F7A3E" w:rsidRDefault="0022166D">
      <w:pPr>
        <w:ind w:left="223" w:hanging="223"/>
        <w:rPr>
          <w:rFonts w:ascii="標楷體" w:eastAsia="標楷體" w:hAnsi="標楷體"/>
        </w:rPr>
      </w:pPr>
      <w:r>
        <w:rPr>
          <w:rFonts w:ascii="標楷體" w:eastAsia="標楷體" w:hAnsi="標楷體"/>
        </w:rPr>
        <w:t>四、公開資料發布訊息</w:t>
      </w:r>
    </w:p>
    <w:p w:rsidR="003F7A3E" w:rsidRDefault="0022166D">
      <w:pPr>
        <w:spacing w:line="0" w:lineRule="atLeast"/>
        <w:ind w:left="480" w:hanging="240"/>
        <w:jc w:val="both"/>
        <w:rPr>
          <w:rFonts w:ascii="標楷體" w:eastAsia="標楷體" w:hAnsi="標楷體"/>
        </w:rPr>
      </w:pPr>
      <w:r>
        <w:rPr>
          <w:rFonts w:ascii="標楷體" w:eastAsia="標楷體" w:hAnsi="標楷體"/>
        </w:rPr>
        <w:t>＊預告發布日期：每季終了後</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p>
    <w:p w:rsidR="003F7A3E" w:rsidRDefault="0022166D">
      <w:pPr>
        <w:spacing w:line="0" w:lineRule="atLeast"/>
        <w:ind w:left="480" w:hanging="240"/>
        <w:jc w:val="both"/>
        <w:rPr>
          <w:rFonts w:ascii="標楷體" w:eastAsia="標楷體" w:hAnsi="標楷體"/>
        </w:rPr>
      </w:pPr>
      <w:r>
        <w:rPr>
          <w:rFonts w:ascii="標楷體" w:eastAsia="標楷體" w:hAnsi="標楷體"/>
        </w:rPr>
        <w:t>＊同步發送單位：臺中市政府主計處、臺中市政府社會局。</w:t>
      </w:r>
      <w:r>
        <w:rPr>
          <w:rFonts w:ascii="標楷體" w:eastAsia="標楷體" w:hAnsi="標楷體"/>
        </w:rPr>
        <w:t xml:space="preserve"> </w:t>
      </w:r>
    </w:p>
    <w:p w:rsidR="003F7A3E" w:rsidRDefault="0022166D">
      <w:pPr>
        <w:ind w:left="223" w:hanging="223"/>
        <w:rPr>
          <w:rFonts w:ascii="標楷體" w:eastAsia="標楷體" w:hAnsi="標楷體"/>
        </w:rPr>
      </w:pPr>
      <w:r>
        <w:rPr>
          <w:rFonts w:ascii="標楷體" w:eastAsia="標楷體" w:hAnsi="標楷體"/>
        </w:rPr>
        <w:t>五、資料品質</w:t>
      </w:r>
    </w:p>
    <w:p w:rsidR="003F7A3E" w:rsidRDefault="0022166D">
      <w:pPr>
        <w:spacing w:line="0" w:lineRule="atLeast"/>
        <w:ind w:left="480" w:hanging="240"/>
        <w:jc w:val="both"/>
        <w:rPr>
          <w:rFonts w:ascii="標楷體" w:eastAsia="標楷體" w:hAnsi="標楷體"/>
        </w:rPr>
      </w:pPr>
      <w:r>
        <w:rPr>
          <w:rFonts w:ascii="標楷體" w:eastAsia="標楷體" w:hAnsi="標楷體"/>
        </w:rPr>
        <w:t>＊統計指標編製方法與資料來源說明：本中心兒童及少年保護組依據市府轄區內之各兒童及少年福利機構、兒童及少年福利服務中心所報送資料及全國兒童及少</w:t>
      </w:r>
      <w:r>
        <w:rPr>
          <w:rFonts w:ascii="標楷體" w:eastAsia="標楷體" w:hAnsi="標楷體"/>
        </w:rPr>
        <w:t>年安置及追蹤個案管理系統資料彙編。</w:t>
      </w:r>
    </w:p>
    <w:p w:rsidR="003F7A3E" w:rsidRDefault="0022166D">
      <w:pPr>
        <w:spacing w:line="0" w:lineRule="atLeast"/>
        <w:ind w:left="480" w:hanging="240"/>
        <w:jc w:val="both"/>
      </w:pPr>
      <w:r>
        <w:rPr>
          <w:rFonts w:ascii="標楷體" w:eastAsia="標楷體" w:hAnsi="標楷體"/>
        </w:rPr>
        <w:t>＊統計資料交叉查核及確保資料合理性之機制：</w:t>
      </w:r>
      <w:r>
        <w:rPr>
          <w:rFonts w:ascii="標楷體" w:eastAsia="標楷體" w:hAnsi="標楷體"/>
          <w:color w:val="ED7D31"/>
        </w:rPr>
        <w:t>業務單位、會計單位、衛生福利部統計處交叉查核確保資料合理性。</w:t>
      </w:r>
    </w:p>
    <w:p w:rsidR="003F7A3E" w:rsidRDefault="0022166D">
      <w:pPr>
        <w:ind w:left="223" w:hanging="223"/>
      </w:pPr>
      <w:r>
        <w:rPr>
          <w:rFonts w:ascii="標楷體" w:eastAsia="標楷體" w:hAnsi="標楷體"/>
        </w:rPr>
        <w:t>六、須注意及預定</w:t>
      </w:r>
      <w:r>
        <w:rPr>
          <w:rFonts w:eastAsia="標楷體"/>
        </w:rPr>
        <w:t>改變之事項：</w:t>
      </w:r>
      <w:r>
        <w:rPr>
          <w:rFonts w:ascii="標楷體" w:eastAsia="標楷體" w:hAnsi="標楷體"/>
        </w:rPr>
        <w:t>表號</w:t>
      </w:r>
      <w:r>
        <w:rPr>
          <w:rFonts w:eastAsia="標楷體"/>
        </w:rPr>
        <w:t>10730-02-02-2</w:t>
      </w:r>
      <w:r>
        <w:rPr>
          <w:rFonts w:eastAsia="標楷體"/>
          <w:lang w:val="af-ZA"/>
        </w:rPr>
        <w:t>。</w:t>
      </w:r>
    </w:p>
    <w:p w:rsidR="003F7A3E" w:rsidRDefault="0022166D">
      <w:pPr>
        <w:tabs>
          <w:tab w:val="left" w:pos="8520"/>
        </w:tabs>
        <w:spacing w:line="0" w:lineRule="atLeast"/>
        <w:jc w:val="both"/>
        <w:rPr>
          <w:rFonts w:ascii="標楷體" w:eastAsia="標楷體" w:hAnsi="標楷體"/>
        </w:rPr>
      </w:pPr>
      <w:r>
        <w:rPr>
          <w:rFonts w:ascii="標楷體" w:eastAsia="標楷體" w:hAnsi="標楷體"/>
        </w:rPr>
        <w:t>七、其他事項：無。</w:t>
      </w:r>
    </w:p>
    <w:p w:rsidR="003F7A3E" w:rsidRDefault="003F7A3E">
      <w:pPr>
        <w:rPr>
          <w:szCs w:val="28"/>
        </w:rPr>
      </w:pPr>
    </w:p>
    <w:p w:rsidR="003F7A3E" w:rsidRDefault="003F7A3E">
      <w:pPr>
        <w:ind w:left="223" w:hanging="223"/>
        <w:rPr>
          <w:rFonts w:ascii="標楷體" w:eastAsia="標楷體" w:hAnsi="標楷體"/>
        </w:rPr>
      </w:pPr>
    </w:p>
    <w:sectPr w:rsidR="003F7A3E">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66D">
      <w:r>
        <w:separator/>
      </w:r>
    </w:p>
  </w:endnote>
  <w:endnote w:type="continuationSeparator" w:id="0">
    <w:p w:rsidR="00000000" w:rsidRDefault="0022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66D">
      <w:r>
        <w:rPr>
          <w:color w:val="000000"/>
        </w:rPr>
        <w:separator/>
      </w:r>
    </w:p>
  </w:footnote>
  <w:footnote w:type="continuationSeparator" w:id="0">
    <w:p w:rsidR="00000000" w:rsidRDefault="00221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800BE"/>
    <w:multiLevelType w:val="multilevel"/>
    <w:tmpl w:val="57B07BA0"/>
    <w:lvl w:ilvl="0">
      <w:numFmt w:val="bullet"/>
      <w:lvlText w:val="＊"/>
      <w:lvlJc w:val="left"/>
      <w:pPr>
        <w:ind w:left="534" w:hanging="24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3F7A3E"/>
    <w:rsid w:val="0022166D"/>
    <w:rsid w:val="003F7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rFonts w:ascii="Times New Roman" w:hAnsi="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rFonts w:ascii="Times New Roman" w:hAnsi="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50184@taichung.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stat.taichung.gov.tw/TCSTAT/Page/kcg01_2.aspx?Mid1=387120200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Company>tccg</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柳妤蒨</dc:creator>
  <dc:description/>
  <cp:lastModifiedBy>cws</cp:lastModifiedBy>
  <cp:revision>2</cp:revision>
  <dcterms:created xsi:type="dcterms:W3CDTF">2022-09-15T01:42:00Z</dcterms:created>
  <dcterms:modified xsi:type="dcterms:W3CDTF">2022-09-15T01:42:00Z</dcterms:modified>
</cp:coreProperties>
</file>