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9"/>
      </w:tblGrid>
      <w:tr w:rsidR="00C942AC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統計資料背景說明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資料種類：行政管理及考核統計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資料項目：臺中市龍井區公所一般公文案件統計表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一、發布及編製機關單位</w:t>
            </w:r>
          </w:p>
          <w:p w:rsidR="00C942AC" w:rsidRDefault="00C126E1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  <w:szCs w:val="28"/>
              </w:rPr>
              <w:t>＊</w:t>
            </w:r>
            <w:r>
              <w:rPr>
                <w:color w:val="000000"/>
                <w:spacing w:val="-4"/>
                <w:sz w:val="28"/>
                <w:szCs w:val="28"/>
              </w:rPr>
              <w:t>發布機關、單位：臺中市龍井區公所會計室</w:t>
            </w:r>
          </w:p>
          <w:p w:rsidR="00C942AC" w:rsidRDefault="00C126E1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臺中市龍井區公所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秘書</w:t>
            </w:r>
            <w:r>
              <w:rPr>
                <w:color w:val="000000"/>
                <w:spacing w:val="17"/>
                <w:sz w:val="28"/>
                <w:szCs w:val="28"/>
              </w:rPr>
              <w:t>室</w:t>
            </w:r>
            <w:r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7"/>
                <w:sz w:val="28"/>
                <w:szCs w:val="28"/>
              </w:rPr>
              <w:t>陳瑩玲</w:t>
            </w:r>
          </w:p>
          <w:p w:rsidR="00C942AC" w:rsidRDefault="00C126E1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</w:rPr>
              <w:t>04-26352411#1121</w:t>
            </w:r>
          </w:p>
          <w:p w:rsidR="00C942AC" w:rsidRDefault="00C126E1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04-26361853</w:t>
            </w:r>
          </w:p>
          <w:p w:rsidR="00C942AC" w:rsidRDefault="00C126E1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color w:val="000000"/>
                <w:sz w:val="28"/>
              </w:rPr>
              <w:t>ylc0410@taichung.gov.tw</w:t>
            </w:r>
          </w:p>
          <w:p w:rsidR="00C942AC" w:rsidRDefault="00C126E1">
            <w:pPr>
              <w:numPr>
                <w:ilvl w:val="0"/>
                <w:numId w:val="3"/>
              </w:numPr>
              <w:tabs>
                <w:tab w:val="left" w:pos="579"/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口頭：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）記者會或說明會</w:t>
            </w:r>
          </w:p>
          <w:p w:rsidR="00C942AC" w:rsidRDefault="00C126E1">
            <w:pPr>
              <w:numPr>
                <w:ilvl w:val="0"/>
                <w:numId w:val="4"/>
              </w:numPr>
              <w:tabs>
                <w:tab w:val="left" w:pos="579"/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書面：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）新聞稿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）報表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）書刊，刊名：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＊電子媒體：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right="-328" w:hanging="755"/>
              <w:jc w:val="both"/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）線上書刊及資料庫，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網址：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86" w:right="-328" w:hanging="47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http://govstat.taichung.gov.tw/TCSTAT/Page/kcg01_2.aspx?Mid1=387740000A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right="-328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）磁片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）光碟片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）其他</w:t>
            </w:r>
          </w:p>
          <w:p w:rsidR="00C942AC" w:rsidRDefault="00C126E1">
            <w:pPr>
              <w:tabs>
                <w:tab w:val="left" w:pos="8520"/>
              </w:tabs>
              <w:spacing w:before="240"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三、資料範圍、週期及時效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＊統計地區範圍及對象：本所各課室辦理之一般公文案件。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＊統計標準時間：每月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日至月底之事實為準。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＊統計項目定義：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（一）本月份新收件數：係每月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日起至最後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日止之收文總數。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（二）截至上月待辦件數：截至上月底止仍未辦結而續於本月辦理之文件總數。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（三）本月創稿數：係每月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日起至最後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日止之創稿總數。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（四）本月應辦公文總數</w:t>
            </w:r>
            <w:r>
              <w:rPr>
                <w:color w:val="000000"/>
                <w:sz w:val="28"/>
                <w:szCs w:val="28"/>
              </w:rPr>
              <w:t>(1+2+3)</w:t>
            </w:r>
            <w:r>
              <w:rPr>
                <w:color w:val="000000"/>
                <w:sz w:val="28"/>
                <w:szCs w:val="28"/>
              </w:rPr>
              <w:t>：係「本月份新收件數」、「截至上月待辦件數」、「本月創稿數」之和。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（五）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日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含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以內辦結件數：自收文次日至辦結發文止，在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日以內完成者均屬之。占發文件數百分比</w:t>
            </w:r>
            <w:r>
              <w:rPr>
                <w:color w:val="000000"/>
                <w:sz w:val="28"/>
                <w:szCs w:val="28"/>
              </w:rPr>
              <w:t>(5/8)</w:t>
            </w:r>
            <w:r>
              <w:rPr>
                <w:color w:val="000000"/>
                <w:sz w:val="28"/>
                <w:szCs w:val="28"/>
              </w:rPr>
              <w:t>：係「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日以內辦結件數」與「發文件數」之比。百分比採四捨五入取到小數點後第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位，以下均同。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（六）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日以上至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日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含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辦結件數：自收文次日至辦結發文止，在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日以上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以</w:t>
            </w:r>
            <w:r>
              <w:rPr>
                <w:color w:val="000000"/>
                <w:sz w:val="28"/>
                <w:szCs w:val="28"/>
              </w:rPr>
              <w:t>6.01</w:t>
            </w:r>
            <w:r>
              <w:rPr>
                <w:color w:val="000000"/>
                <w:sz w:val="28"/>
                <w:szCs w:val="28"/>
              </w:rPr>
              <w:t>日起算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到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日間完成者均屬之。占發文件數百分比</w:t>
            </w:r>
            <w:r>
              <w:rPr>
                <w:color w:val="000000"/>
                <w:sz w:val="28"/>
                <w:szCs w:val="28"/>
              </w:rPr>
              <w:t>(6/8)</w:t>
            </w:r>
            <w:r>
              <w:rPr>
                <w:color w:val="000000"/>
                <w:sz w:val="28"/>
                <w:szCs w:val="28"/>
              </w:rPr>
              <w:t>：係「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日以上至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日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含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辦結件數」與「發文件數」之比。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（七）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日以上辦結件數：自收文次日至辦結發文止，在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日以上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以</w:t>
            </w:r>
            <w:r>
              <w:rPr>
                <w:color w:val="000000"/>
                <w:sz w:val="28"/>
                <w:szCs w:val="28"/>
              </w:rPr>
              <w:t>30.01</w:t>
            </w:r>
            <w:r>
              <w:rPr>
                <w:color w:val="000000"/>
                <w:sz w:val="28"/>
                <w:szCs w:val="28"/>
              </w:rPr>
              <w:t>日起算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完成者均屬之。占發文件數百分比</w:t>
            </w:r>
            <w:r>
              <w:rPr>
                <w:color w:val="000000"/>
                <w:sz w:val="28"/>
                <w:szCs w:val="28"/>
              </w:rPr>
              <w:t>(7/8)</w:t>
            </w:r>
            <w:r>
              <w:rPr>
                <w:color w:val="000000"/>
                <w:sz w:val="28"/>
                <w:szCs w:val="28"/>
              </w:rPr>
              <w:t>：係「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日以上辦結件數」與「發文件數」之比。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（八）發文件數小計</w:t>
            </w:r>
            <w:r>
              <w:rPr>
                <w:color w:val="000000"/>
                <w:sz w:val="28"/>
                <w:szCs w:val="28"/>
              </w:rPr>
              <w:t>(5+6+7)</w:t>
            </w:r>
            <w:r>
              <w:rPr>
                <w:color w:val="000000"/>
                <w:sz w:val="28"/>
                <w:szCs w:val="28"/>
              </w:rPr>
              <w:t>：係已結案發文之總數。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（九）存查件數：凡奉批存查案件均屬之。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851" w:hanging="6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（十）辦結件數總計（</w:t>
            </w:r>
            <w:r>
              <w:rPr>
                <w:color w:val="000000"/>
                <w:sz w:val="28"/>
                <w:szCs w:val="28"/>
              </w:rPr>
              <w:t>8+9</w:t>
            </w:r>
            <w:r>
              <w:rPr>
                <w:color w:val="000000"/>
                <w:sz w:val="28"/>
                <w:szCs w:val="28"/>
              </w:rPr>
              <w:t>）：發文件數與存查件數之和。占應辦公</w:t>
            </w:r>
            <w:r>
              <w:rPr>
                <w:color w:val="000000"/>
                <w:sz w:val="28"/>
                <w:szCs w:val="28"/>
              </w:rPr>
              <w:t>文總數百分比（</w:t>
            </w:r>
            <w:r>
              <w:rPr>
                <w:color w:val="000000"/>
                <w:sz w:val="28"/>
                <w:szCs w:val="28"/>
              </w:rPr>
              <w:t>10/4</w:t>
            </w:r>
            <w:r>
              <w:rPr>
                <w:color w:val="000000"/>
                <w:sz w:val="28"/>
                <w:szCs w:val="28"/>
              </w:rPr>
              <w:t>）：係「辦結件數」與「應辦公文總數」之比。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1276" w:hanging="10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（十一）發文平均使用日數：係發文使用日數之和，除以發文總件數，所得之</w:t>
            </w:r>
            <w:r>
              <w:rPr>
                <w:color w:val="000000"/>
                <w:sz w:val="28"/>
                <w:szCs w:val="28"/>
              </w:rPr>
              <w:lastRenderedPageBreak/>
              <w:t>商。日數計算採四捨五入取到小數點後第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位。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1276" w:hanging="10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（十二）待辦件數（</w:t>
            </w:r>
            <w:r>
              <w:rPr>
                <w:color w:val="000000"/>
                <w:sz w:val="28"/>
                <w:szCs w:val="28"/>
              </w:rPr>
              <w:t>4-10</w:t>
            </w:r>
            <w:r>
              <w:rPr>
                <w:color w:val="000000"/>
                <w:sz w:val="28"/>
                <w:szCs w:val="28"/>
              </w:rPr>
              <w:t>）：凡未辦理完成者均屬之，含未銷號者在內。其為「應辦公文總數」減「辦結件數」；亦為未逾辦理期限待辦件數與已逾辦理待辦件數之和。占應辦公文總數百分比（</w:t>
            </w:r>
            <w:r>
              <w:rPr>
                <w:color w:val="000000"/>
                <w:sz w:val="28"/>
                <w:szCs w:val="28"/>
              </w:rPr>
              <w:t>12/4</w:t>
            </w:r>
            <w:r>
              <w:rPr>
                <w:color w:val="000000"/>
                <w:sz w:val="28"/>
                <w:szCs w:val="28"/>
              </w:rPr>
              <w:t>）：「待辦件數」與「應辦公文總數」之比。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（十三）未逾辦理期限待辦件數：凡未超過處理時限之待辦公文均屬之。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（十四）已逾辦理期限待辦件數：凡超過處理時限之待辦公文均屬之。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</w:pPr>
            <w:r>
              <w:rPr>
                <w:color w:val="000000"/>
                <w:sz w:val="28"/>
                <w:szCs w:val="28"/>
              </w:rPr>
              <w:t>＊統計單位：件數</w:t>
            </w:r>
            <w:r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百分比</w:t>
            </w:r>
            <w:r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日數。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＊統計分類：按應辦公文、已結公文、待辦公文分類。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＊發布週期：月。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＊時效：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日。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＊資料變革：無。</w:t>
            </w:r>
          </w:p>
          <w:p w:rsidR="00C942AC" w:rsidRDefault="00C126E1">
            <w:pPr>
              <w:tabs>
                <w:tab w:val="left" w:pos="8520"/>
              </w:tabs>
              <w:spacing w:before="240"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四、公開資料發布訊息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  <w:szCs w:val="28"/>
              </w:rPr>
              <w:t>＊預告發布日期：每月終了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日。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</w:pPr>
            <w:r>
              <w:rPr>
                <w:color w:val="000000"/>
                <w:sz w:val="28"/>
                <w:szCs w:val="28"/>
              </w:rPr>
              <w:t>＊同步發送單位：臺中市政府主計處。</w:t>
            </w:r>
          </w:p>
          <w:p w:rsidR="00C942AC" w:rsidRDefault="00C126E1">
            <w:pPr>
              <w:tabs>
                <w:tab w:val="left" w:pos="8520"/>
              </w:tabs>
              <w:spacing w:before="240"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五、資料品質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＊統計指標編製方法與資料來源說明：本所秘書室依據臺中市政府公文整合資訊系統編製。</w:t>
            </w:r>
          </w:p>
          <w:p w:rsidR="00C942AC" w:rsidRDefault="00C126E1">
            <w:pPr>
              <w:tabs>
                <w:tab w:val="left" w:pos="8520"/>
              </w:tabs>
              <w:spacing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＊統計資料交叉查核及確保資料合理性之機制：由電腦系統自動進行加總</w:t>
            </w:r>
            <w:r>
              <w:rPr>
                <w:color w:val="000000"/>
                <w:sz w:val="28"/>
                <w:szCs w:val="28"/>
              </w:rPr>
              <w:t>交叉查核。</w:t>
            </w:r>
          </w:p>
          <w:p w:rsidR="00C942AC" w:rsidRDefault="00C126E1">
            <w:pPr>
              <w:tabs>
                <w:tab w:val="left" w:pos="8520"/>
              </w:tabs>
              <w:spacing w:before="240" w:line="360" w:lineRule="exact"/>
              <w:ind w:left="993" w:hanging="7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六、須注意及預定改變之事項：表號</w:t>
            </w:r>
            <w:r>
              <w:rPr>
                <w:color w:val="000000"/>
                <w:sz w:val="28"/>
                <w:szCs w:val="28"/>
              </w:rPr>
              <w:t>30280-07-02-3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C942AC" w:rsidRDefault="00C126E1">
            <w:pPr>
              <w:tabs>
                <w:tab w:val="left" w:pos="8520"/>
              </w:tabs>
              <w:spacing w:before="240" w:line="360" w:lineRule="exact"/>
              <w:ind w:left="993" w:hanging="755"/>
              <w:jc w:val="both"/>
            </w:pPr>
            <w:r>
              <w:rPr>
                <w:color w:val="000000"/>
                <w:sz w:val="28"/>
                <w:szCs w:val="28"/>
              </w:rPr>
              <w:t>七、其他事項：無。</w:t>
            </w:r>
          </w:p>
        </w:tc>
      </w:tr>
    </w:tbl>
    <w:p w:rsidR="00C942AC" w:rsidRDefault="00C942AC"/>
    <w:sectPr w:rsidR="00C942AC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6E1">
      <w:r>
        <w:separator/>
      </w:r>
    </w:p>
  </w:endnote>
  <w:endnote w:type="continuationSeparator" w:id="0">
    <w:p w:rsidR="00000000" w:rsidRDefault="00C1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6E1">
      <w:r>
        <w:rPr>
          <w:color w:val="000000"/>
        </w:rPr>
        <w:separator/>
      </w:r>
    </w:p>
  </w:footnote>
  <w:footnote w:type="continuationSeparator" w:id="0">
    <w:p w:rsidR="00000000" w:rsidRDefault="00C1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F4"/>
    <w:multiLevelType w:val="multilevel"/>
    <w:tmpl w:val="527A8064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F6F68A4"/>
    <w:multiLevelType w:val="multilevel"/>
    <w:tmpl w:val="6BC847F6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D43132"/>
    <w:multiLevelType w:val="multilevel"/>
    <w:tmpl w:val="FD7C33AE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005301A"/>
    <w:multiLevelType w:val="multilevel"/>
    <w:tmpl w:val="38A44E2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42AC"/>
    <w:rsid w:val="00C126E1"/>
    <w:rsid w:val="00C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tccg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2022-12-15T08:31:00Z</dcterms:created>
  <dcterms:modified xsi:type="dcterms:W3CDTF">2022-12-15T08:31:00Z</dcterms:modified>
</cp:coreProperties>
</file>