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CC04" w14:textId="77777777" w:rsidR="005B00EA" w:rsidRDefault="009F45FF">
      <w:pPr>
        <w:pStyle w:val="Standard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統計資料背景說明</w:t>
      </w:r>
    </w:p>
    <w:p w14:paraId="538D8C85" w14:textId="77777777" w:rsidR="005B00EA" w:rsidRDefault="009F45FF">
      <w:pPr>
        <w:pStyle w:val="Standard"/>
      </w:pPr>
      <w:r>
        <w:rPr>
          <w:rFonts w:ascii="標楷體" w:eastAsia="標楷體" w:hAnsi="標楷體" w:cs="標楷體"/>
        </w:rPr>
        <w:t>資料種類：</w:t>
      </w:r>
      <w:r>
        <w:rPr>
          <w:rFonts w:eastAsia="標楷體"/>
          <w:szCs w:val="20"/>
        </w:rPr>
        <w:t>畜牧業統計</w:t>
      </w:r>
    </w:p>
    <w:p w14:paraId="7854A6B3" w14:textId="77777777" w:rsidR="005B00EA" w:rsidRDefault="009F45FF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資料項目：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中市畜牧</w:t>
      </w:r>
      <w:proofErr w:type="gramStart"/>
      <w:r>
        <w:rPr>
          <w:rFonts w:ascii="標楷體" w:eastAsia="標楷體" w:hAnsi="標楷體" w:cs="標楷體"/>
        </w:rPr>
        <w:t>場口蹄疫</w:t>
      </w:r>
      <w:proofErr w:type="gramEnd"/>
      <w:r>
        <w:rPr>
          <w:rFonts w:ascii="標楷體" w:eastAsia="標楷體" w:hAnsi="標楷體" w:cs="標楷體"/>
        </w:rPr>
        <w:t>血清學監測件數統計</w:t>
      </w:r>
    </w:p>
    <w:p w14:paraId="628C1FCE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一、發布及編製機關單位</w:t>
      </w:r>
    </w:p>
    <w:p w14:paraId="34AD0890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發布機關、單位：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中市動物保護防疫處會計室</w:t>
      </w:r>
    </w:p>
    <w:p w14:paraId="6D2E5746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編製單位：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中市動物保護防疫</w:t>
      </w:r>
      <w:proofErr w:type="gramStart"/>
      <w:r>
        <w:rPr>
          <w:rFonts w:ascii="標楷體" w:eastAsia="標楷體" w:hAnsi="標楷體" w:cs="標楷體"/>
        </w:rPr>
        <w:t>處豬病</w:t>
      </w:r>
      <w:proofErr w:type="gramEnd"/>
      <w:r>
        <w:rPr>
          <w:rFonts w:ascii="標楷體" w:eastAsia="標楷體" w:hAnsi="標楷體" w:cs="標楷體"/>
        </w:rPr>
        <w:t>防疫及病性鑑定組、草食動物</w:t>
      </w:r>
      <w:proofErr w:type="gramStart"/>
      <w:r>
        <w:rPr>
          <w:rFonts w:ascii="標楷體" w:eastAsia="標楷體" w:hAnsi="標楷體" w:cs="標楷體"/>
        </w:rPr>
        <w:t>及禽病</w:t>
      </w:r>
      <w:proofErr w:type="gramEnd"/>
      <w:r>
        <w:rPr>
          <w:rFonts w:ascii="標楷體" w:eastAsia="標楷體" w:hAnsi="標楷體" w:cs="標楷體"/>
        </w:rPr>
        <w:t>防疫組</w:t>
      </w:r>
    </w:p>
    <w:p w14:paraId="25D705E7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聯絡電話：04-23869420</w:t>
      </w:r>
    </w:p>
    <w:p w14:paraId="450A30EE" w14:textId="77777777" w:rsidR="005B00EA" w:rsidRPr="004D454C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 w:rsidRPr="004D454C">
        <w:rPr>
          <w:rFonts w:ascii="標楷體" w:eastAsia="標楷體" w:hAnsi="標楷體" w:cs="標楷體"/>
        </w:rPr>
        <w:t>＊</w:t>
      </w:r>
      <w:proofErr w:type="gramEnd"/>
      <w:r w:rsidRPr="004D454C">
        <w:rPr>
          <w:rFonts w:ascii="標楷體" w:eastAsia="標楷體" w:hAnsi="標楷體" w:cs="標楷體"/>
        </w:rPr>
        <w:t>傳真：04-23869291</w:t>
      </w:r>
    </w:p>
    <w:p w14:paraId="39E55DF7" w14:textId="34C8D687" w:rsidR="005B00EA" w:rsidRPr="00C74BE1" w:rsidRDefault="009F45FF" w:rsidP="00C74BE1">
      <w:pPr>
        <w:pStyle w:val="Standard"/>
        <w:numPr>
          <w:ilvl w:val="0"/>
          <w:numId w:val="4"/>
        </w:numPr>
        <w:spacing w:line="0" w:lineRule="atLeast"/>
        <w:rPr>
          <w:rFonts w:ascii="標楷體" w:eastAsia="標楷體" w:hAnsi="標楷體" w:cs="標楷體" w:hint="eastAsia"/>
        </w:rPr>
      </w:pPr>
      <w:r w:rsidRPr="004D454C">
        <w:rPr>
          <w:rFonts w:ascii="標楷體" w:eastAsia="標楷體" w:hAnsi="標楷體" w:cs="標楷體"/>
        </w:rPr>
        <w:t>電子信箱：</w:t>
      </w:r>
      <w:r w:rsidR="004D454C" w:rsidRPr="004D454C">
        <w:rPr>
          <w:rFonts w:ascii="標楷體" w:eastAsia="標楷體" w:hAnsi="標楷體" w:cs="標楷體"/>
        </w:rPr>
        <w:t>tilapia42@taichung.gov.tw</w:t>
      </w:r>
    </w:p>
    <w:p w14:paraId="2F5296E9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r w:rsidRPr="004D454C"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、發布形式</w:t>
      </w:r>
    </w:p>
    <w:p w14:paraId="0E743BBE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口頭：（　）記者會或說明會。</w:t>
      </w:r>
    </w:p>
    <w:p w14:paraId="1C24AC5C" w14:textId="4BA6F31A" w:rsidR="005B00EA" w:rsidRDefault="009F45FF">
      <w:pPr>
        <w:pStyle w:val="Standard"/>
        <w:spacing w:line="0" w:lineRule="atLeast"/>
        <w:rPr>
          <w:rFonts w:hint="eastAsia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書面：（　）新聞稿　（</w:t>
      </w:r>
      <w:proofErr w:type="gramStart"/>
      <w:r>
        <w:rPr>
          <w:rFonts w:ascii="標楷體" w:eastAsia="標楷體" w:hAnsi="標楷體" w:cs="標楷體"/>
        </w:rPr>
        <w:t>ˇ</w:t>
      </w:r>
      <w:proofErr w:type="gramEnd"/>
      <w:r>
        <w:rPr>
          <w:rFonts w:ascii="標楷體" w:eastAsia="標楷體" w:hAnsi="標楷體" w:cs="標楷體"/>
        </w:rPr>
        <w:t>）報表　（　）書刊，刊名：</w:t>
      </w:r>
    </w:p>
    <w:p w14:paraId="45F51213" w14:textId="34065776" w:rsidR="005B00EA" w:rsidRDefault="009F45FF">
      <w:pPr>
        <w:pStyle w:val="Standard"/>
        <w:spacing w:line="0" w:lineRule="atLeast"/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 xml:space="preserve">電子媒體： ( V </w:t>
      </w:r>
      <w:proofErr w:type="gramStart"/>
      <w:r>
        <w:rPr>
          <w:rFonts w:ascii="標楷體" w:eastAsia="標楷體" w:hAnsi="標楷體" w:cs="標楷體"/>
        </w:rPr>
        <w:t>）</w:t>
      </w:r>
      <w:r w:rsidR="00F6075A" w:rsidRPr="00F6075A">
        <w:rPr>
          <w:rFonts w:ascii="標楷體" w:eastAsia="標楷體" w:hAnsi="標楷體" w:cs="標楷體" w:hint="eastAsia"/>
        </w:rPr>
        <w:t>線上書刊</w:t>
      </w:r>
      <w:proofErr w:type="gramEnd"/>
      <w:r w:rsidR="00F6075A" w:rsidRPr="00F6075A">
        <w:rPr>
          <w:rFonts w:ascii="標楷體" w:eastAsia="標楷體" w:hAnsi="標楷體" w:cs="標楷體" w:hint="eastAsia"/>
        </w:rPr>
        <w:t>及資料庫，網址:</w:t>
      </w:r>
      <w:r>
        <w:rPr>
          <w:rFonts w:ascii="標楷體" w:eastAsia="標楷體" w:hAnsi="標楷體" w:cs="標楷體"/>
        </w:rPr>
        <w:t xml:space="preserve">               </w:t>
      </w:r>
      <w:hyperlink r:id="rId7" w:history="1">
        <w:r>
          <w:rPr>
            <w:rStyle w:val="Internetlink"/>
            <w:rFonts w:ascii="標楷體" w:eastAsia="標楷體" w:hAnsi="標楷體" w:cs="標楷體"/>
          </w:rPr>
          <w:t>http://g</w:t>
        </w:r>
        <w:r>
          <w:rPr>
            <w:rStyle w:val="Internetlink"/>
            <w:rFonts w:ascii="標楷體" w:eastAsia="標楷體" w:hAnsi="標楷體" w:cs="標楷體"/>
          </w:rPr>
          <w:t>o</w:t>
        </w:r>
        <w:r>
          <w:rPr>
            <w:rStyle w:val="Internetlink"/>
            <w:rFonts w:ascii="標楷體" w:eastAsia="標楷體" w:hAnsi="標楷體" w:cs="標楷體"/>
          </w:rPr>
          <w:t>vstat.taichung.gov.tw/TCSTAT/Page/kcg01_2.aspx?Mid1=387270100I</w:t>
        </w:r>
      </w:hyperlink>
    </w:p>
    <w:p w14:paraId="65C335C5" w14:textId="5E6AAE84" w:rsidR="005B00EA" w:rsidRPr="00F6075A" w:rsidRDefault="00F6075A" w:rsidP="00F6075A">
      <w:pPr>
        <w:pStyle w:val="Standard"/>
        <w:spacing w:line="0" w:lineRule="atLeast"/>
        <w:rPr>
          <w:rFonts w:ascii="標楷體" w:eastAsia="標楷體" w:hAnsi="標楷體" w:cs="標楷體"/>
        </w:rPr>
      </w:pPr>
      <w:r w:rsidRPr="00F6075A">
        <w:rPr>
          <w:rFonts w:ascii="標楷體" w:eastAsia="標楷體" w:hAnsi="標楷體" w:cs="標楷體" w:hint="eastAsia"/>
        </w:rPr>
        <w:t>（　 ）磁片　（　）光碟片　（　）其</w:t>
      </w:r>
      <w:r>
        <w:rPr>
          <w:rFonts w:ascii="標楷體" w:eastAsia="標楷體" w:hAnsi="標楷體" w:cs="標楷體" w:hint="eastAsia"/>
        </w:rPr>
        <w:t>他</w:t>
      </w:r>
    </w:p>
    <w:p w14:paraId="0CF2C2BA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三、資料範圍、週期及時效</w:t>
      </w:r>
    </w:p>
    <w:p w14:paraId="58250C38" w14:textId="04F90EDA" w:rsidR="005B00EA" w:rsidRDefault="009F45FF">
      <w:pPr>
        <w:pStyle w:val="Standard"/>
        <w:spacing w:line="0" w:lineRule="atLeast"/>
        <w:ind w:left="2520" w:hanging="2520"/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統計範圍及對象：</w:t>
      </w:r>
      <w:r>
        <w:rPr>
          <w:rFonts w:ascii="標楷體" w:eastAsia="標楷體" w:hAnsi="標楷體" w:cs="標楷體"/>
          <w:color w:val="000000"/>
        </w:rPr>
        <w:t>本市轄內畜牧場所飼養之豬、牛、羊為統計對象。</w:t>
      </w:r>
    </w:p>
    <w:p w14:paraId="2052B875" w14:textId="77777777" w:rsidR="005B00EA" w:rsidRDefault="009F45FF">
      <w:pPr>
        <w:pStyle w:val="Standard"/>
        <w:spacing w:line="0" w:lineRule="atLeast"/>
        <w:ind w:left="1920" w:hanging="1920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統計標準時間：以每年1月1日起至12月31日止之事實為</w:t>
      </w:r>
      <w:proofErr w:type="gramStart"/>
      <w:r>
        <w:rPr>
          <w:rFonts w:ascii="標楷體" w:eastAsia="標楷體" w:hAnsi="標楷體" w:cs="標楷體"/>
        </w:rPr>
        <w:t>準</w:t>
      </w:r>
      <w:proofErr w:type="gramEnd"/>
      <w:r>
        <w:rPr>
          <w:rFonts w:ascii="標楷體" w:eastAsia="標楷體" w:hAnsi="標楷體" w:cs="標楷體"/>
        </w:rPr>
        <w:t>。</w:t>
      </w:r>
    </w:p>
    <w:p w14:paraId="207B1A80" w14:textId="77777777" w:rsidR="005B00EA" w:rsidRDefault="009F45FF">
      <w:pPr>
        <w:pStyle w:val="Standard"/>
        <w:spacing w:line="0" w:lineRule="atLeast"/>
        <w:ind w:left="1920" w:hanging="1920"/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統計項目定義：</w:t>
      </w:r>
      <w:r>
        <w:rPr>
          <w:rFonts w:ascii="標楷體" w:eastAsia="標楷體" w:hAnsi="標楷體" w:cs="標楷體"/>
          <w:color w:val="000000"/>
        </w:rPr>
        <w:t>指符合動物傳染病防治條例所規範之動物(豬、牛、羊)。</w:t>
      </w:r>
    </w:p>
    <w:p w14:paraId="2DB46A9B" w14:textId="297552D4" w:rsidR="005B00EA" w:rsidRDefault="009F45FF">
      <w:pPr>
        <w:pStyle w:val="Standard"/>
        <w:spacing w:line="0" w:lineRule="atLeast"/>
        <w:ind w:left="1920" w:hanging="1920"/>
        <w:rPr>
          <w:rFonts w:ascii="標楷體" w:eastAsia="標楷體" w:hAnsi="標楷體" w:cs="標楷體" w:hint="eastAsia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統計單位：</w:t>
      </w:r>
      <w:r w:rsidRPr="00F6075A">
        <w:rPr>
          <w:rFonts w:ascii="標楷體" w:eastAsia="標楷體" w:hAnsi="標楷體" w:cs="標楷體"/>
        </w:rPr>
        <w:t>件</w:t>
      </w:r>
    </w:p>
    <w:p w14:paraId="7D6A886F" w14:textId="61E47D86" w:rsidR="005B00EA" w:rsidRDefault="00F86223" w:rsidP="00F86223">
      <w:pPr>
        <w:pStyle w:val="Standard"/>
        <w:spacing w:line="0" w:lineRule="atLeast"/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 w:rsidR="009F45FF">
        <w:rPr>
          <w:rFonts w:ascii="標楷體" w:eastAsia="標楷體" w:hAnsi="標楷體" w:cs="標楷體"/>
        </w:rPr>
        <w:t>統計分類：</w:t>
      </w:r>
      <w:r w:rsidR="009F45FF">
        <w:rPr>
          <w:rFonts w:ascii="標楷體" w:eastAsia="標楷體" w:hAnsi="標楷體" w:cs="標楷體"/>
          <w:color w:val="000000"/>
        </w:rPr>
        <w:t>按動物別分為豬、牛、羊。</w:t>
      </w:r>
    </w:p>
    <w:p w14:paraId="7B00F924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發布週期：年。</w:t>
      </w:r>
    </w:p>
    <w:p w14:paraId="6F62CCCA" w14:textId="7F185475" w:rsidR="005B00EA" w:rsidRDefault="00F86223" w:rsidP="00F86223">
      <w:pPr>
        <w:pStyle w:val="Standard"/>
        <w:spacing w:line="0" w:lineRule="atLeas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 w:rsidR="009F45FF">
        <w:rPr>
          <w:rFonts w:ascii="標楷體" w:eastAsia="標楷體" w:hAnsi="標楷體" w:cs="標楷體"/>
        </w:rPr>
        <w:t>時效：2個月</w:t>
      </w:r>
    </w:p>
    <w:p w14:paraId="3C57652F" w14:textId="18B1733A" w:rsidR="005B00EA" w:rsidRDefault="00F86223">
      <w:pPr>
        <w:pStyle w:val="Standard"/>
        <w:spacing w:line="0" w:lineRule="atLeast"/>
        <w:rPr>
          <w:rFonts w:ascii="標楷體" w:eastAsia="標楷體" w:hAnsi="標楷體" w:cs="標楷體" w:hint="eastAsia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 w:rsidRPr="00F6075A">
        <w:rPr>
          <w:rFonts w:ascii="標楷體" w:eastAsia="標楷體" w:hAnsi="標楷體" w:cs="標楷體" w:hint="eastAsia"/>
        </w:rPr>
        <w:t>資料變革</w:t>
      </w:r>
      <w:r w:rsidRPr="00F6075A">
        <w:rPr>
          <w:rFonts w:ascii="標楷體" w:eastAsia="標楷體" w:hAnsi="標楷體" w:cs="標楷體"/>
        </w:rPr>
        <w:t>：</w:t>
      </w:r>
      <w:r w:rsidRPr="00F6075A">
        <w:rPr>
          <w:rFonts w:ascii="標楷體" w:eastAsia="標楷體" w:hAnsi="標楷體" w:cs="標楷體" w:hint="eastAsia"/>
        </w:rPr>
        <w:t>無</w:t>
      </w:r>
    </w:p>
    <w:p w14:paraId="7FD18307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四、公開資料發布訊息</w:t>
      </w:r>
    </w:p>
    <w:p w14:paraId="239CA446" w14:textId="77777777" w:rsidR="005B00EA" w:rsidRDefault="009F45FF">
      <w:pPr>
        <w:pStyle w:val="Standard"/>
        <w:spacing w:line="0" w:lineRule="atLeast"/>
        <w:ind w:left="1824" w:hanging="1824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預告發布日期：次年2月底。(原訂預告發布日期如遇例假日或國定假日則延至下一個工作日發布)</w:t>
      </w:r>
    </w:p>
    <w:p w14:paraId="5B28C5D0" w14:textId="6A9E2673" w:rsidR="005B00EA" w:rsidRDefault="009F45FF" w:rsidP="00F86223">
      <w:pPr>
        <w:pStyle w:val="Standard"/>
        <w:spacing w:line="0" w:lineRule="atLeast"/>
        <w:ind w:left="1920" w:hanging="1920"/>
        <w:rPr>
          <w:rFonts w:ascii="標楷體" w:eastAsia="標楷體" w:hAnsi="標楷體" w:cs="標楷體" w:hint="eastAsia"/>
        </w:rPr>
      </w:pPr>
      <w:proofErr w:type="gramStart"/>
      <w:r>
        <w:rPr>
          <w:rFonts w:ascii="標楷體" w:eastAsia="標楷體" w:hAnsi="標楷體" w:cs="標楷體"/>
        </w:rPr>
        <w:t>＊</w:t>
      </w:r>
      <w:proofErr w:type="gramEnd"/>
      <w:r>
        <w:rPr>
          <w:rFonts w:ascii="標楷體" w:eastAsia="標楷體" w:hAnsi="標楷體" w:cs="標楷體"/>
        </w:rPr>
        <w:t>同步發送單位：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中市政府主計處、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中市政府農業局</w:t>
      </w:r>
    </w:p>
    <w:p w14:paraId="4639AB88" w14:textId="77777777" w:rsidR="005B00EA" w:rsidRDefault="009F45FF">
      <w:pPr>
        <w:pStyle w:val="Standard"/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五、資料品質</w:t>
      </w:r>
    </w:p>
    <w:p w14:paraId="2D765A9F" w14:textId="77777777" w:rsidR="005B00EA" w:rsidRDefault="009F45FF">
      <w:pPr>
        <w:pStyle w:val="Standard"/>
        <w:numPr>
          <w:ilvl w:val="0"/>
          <w:numId w:val="2"/>
        </w:numPr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統計指標編製方法與資料來源說明：本</w:t>
      </w:r>
      <w:proofErr w:type="gramStart"/>
      <w:r>
        <w:rPr>
          <w:rFonts w:ascii="標楷體" w:eastAsia="標楷體" w:hAnsi="標楷體" w:cs="標楷體"/>
        </w:rPr>
        <w:t>處豬病</w:t>
      </w:r>
      <w:proofErr w:type="gramEnd"/>
      <w:r>
        <w:rPr>
          <w:rFonts w:ascii="標楷體" w:eastAsia="標楷體" w:hAnsi="標楷體" w:cs="標楷體"/>
        </w:rPr>
        <w:t>防疫及病性鑑定組、草食動物</w:t>
      </w:r>
      <w:proofErr w:type="gramStart"/>
      <w:r>
        <w:rPr>
          <w:rFonts w:ascii="標楷體" w:eastAsia="標楷體" w:hAnsi="標楷體" w:cs="標楷體"/>
        </w:rPr>
        <w:t>及禽病</w:t>
      </w:r>
      <w:proofErr w:type="gramEnd"/>
      <w:r>
        <w:rPr>
          <w:rFonts w:ascii="標楷體" w:eastAsia="標楷體" w:hAnsi="標楷體" w:cs="標楷體"/>
        </w:rPr>
        <w:t>防疫組依據農業部動植物防疫檢疫署核定畜牧</w:t>
      </w:r>
      <w:proofErr w:type="gramStart"/>
      <w:r>
        <w:rPr>
          <w:rFonts w:ascii="標楷體" w:eastAsia="標楷體" w:hAnsi="標楷體" w:cs="標楷體"/>
        </w:rPr>
        <w:t>場口蹄疫</w:t>
      </w:r>
      <w:proofErr w:type="gramEnd"/>
      <w:r>
        <w:rPr>
          <w:rFonts w:ascii="標楷體" w:eastAsia="標楷體" w:hAnsi="標楷體" w:cs="標楷體"/>
        </w:rPr>
        <w:t>血清學監測件數彙編。</w:t>
      </w:r>
    </w:p>
    <w:p w14:paraId="1FC2FCCB" w14:textId="00787D8E" w:rsidR="005B00EA" w:rsidRPr="00F6075A" w:rsidRDefault="009F45FF" w:rsidP="00F6075A">
      <w:pPr>
        <w:pStyle w:val="Standard"/>
        <w:numPr>
          <w:ilvl w:val="0"/>
          <w:numId w:val="2"/>
        </w:numPr>
        <w:spacing w:line="0" w:lineRule="atLeas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統計資料交叉查核及確保資料合理性之機制：業務單位、會計室交叉查核確保資料合理性。</w:t>
      </w:r>
    </w:p>
    <w:p w14:paraId="4CC789FA" w14:textId="61BB762B" w:rsidR="005B00EA" w:rsidRPr="00F6075A" w:rsidRDefault="009F45FF">
      <w:pPr>
        <w:pStyle w:val="Standard"/>
        <w:spacing w:line="0" w:lineRule="atLeast"/>
        <w:rPr>
          <w:rFonts w:hint="eastAsia"/>
        </w:rPr>
      </w:pPr>
      <w:r>
        <w:rPr>
          <w:rFonts w:ascii="標楷體" w:eastAsia="標楷體" w:hAnsi="標楷體" w:cs="標楷體"/>
        </w:rPr>
        <w:t>六、須注意及預定改變之事項：</w:t>
      </w:r>
      <w:proofErr w:type="gramStart"/>
      <w:r>
        <w:rPr>
          <w:rFonts w:ascii="標楷體" w:eastAsia="標楷體" w:hAnsi="標楷體" w:cs="標楷體"/>
        </w:rPr>
        <w:t>表號</w:t>
      </w:r>
      <w:proofErr w:type="gramEnd"/>
      <w:r>
        <w:rPr>
          <w:rFonts w:ascii="標楷體" w:eastAsia="標楷體" w:hAnsi="標楷體" w:cs="標楷體"/>
        </w:rPr>
        <w:t>20359-01-04-2</w:t>
      </w:r>
    </w:p>
    <w:p w14:paraId="1E0513DD" w14:textId="77777777" w:rsidR="005B00EA" w:rsidRDefault="009F45FF">
      <w:pPr>
        <w:pStyle w:val="Standard"/>
        <w:spacing w:line="0" w:lineRule="atLeast"/>
      </w:pPr>
      <w:r>
        <w:rPr>
          <w:rFonts w:ascii="標楷體" w:eastAsia="標楷體" w:hAnsi="標楷體" w:cs="標楷體"/>
          <w:lang w:eastAsia="zh-HK"/>
        </w:rPr>
        <w:t>七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szCs w:val="20"/>
        </w:rPr>
        <w:t>其他事項：無</w:t>
      </w:r>
    </w:p>
    <w:p w14:paraId="43D7C92C" w14:textId="77777777" w:rsidR="005B00EA" w:rsidRDefault="005B00EA">
      <w:pPr>
        <w:pStyle w:val="Standard"/>
        <w:spacing w:line="0" w:lineRule="atLeast"/>
        <w:rPr>
          <w:rFonts w:ascii="標楷體" w:eastAsia="標楷體" w:hAnsi="標楷體" w:cs="標楷體"/>
        </w:rPr>
      </w:pPr>
    </w:p>
    <w:sectPr w:rsidR="005B00EA">
      <w:pgSz w:w="11906" w:h="16838"/>
      <w:pgMar w:top="1021" w:right="1247" w:bottom="102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0078" w14:textId="77777777" w:rsidR="00182686" w:rsidRDefault="00182686">
      <w:pPr>
        <w:rPr>
          <w:rFonts w:hint="eastAsia"/>
        </w:rPr>
      </w:pPr>
      <w:r>
        <w:separator/>
      </w:r>
    </w:p>
  </w:endnote>
  <w:endnote w:type="continuationSeparator" w:id="0">
    <w:p w14:paraId="7B6C7FEE" w14:textId="77777777" w:rsidR="00182686" w:rsidRDefault="001826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PGothic Medium JP">
    <w:charset w:val="00"/>
    <w:family w:val="modern"/>
    <w:pitch w:val="variable"/>
  </w:font>
  <w:font w:name="AncientClock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5DBE" w14:textId="77777777" w:rsidR="00182686" w:rsidRDefault="001826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B584C3" w14:textId="77777777" w:rsidR="00182686" w:rsidRDefault="001826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E40"/>
    <w:multiLevelType w:val="multilevel"/>
    <w:tmpl w:val="6646188E"/>
    <w:styleLink w:val="WW8Num1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1" w15:restartNumberingAfterBreak="0">
    <w:nsid w:val="192730D3"/>
    <w:multiLevelType w:val="multilevel"/>
    <w:tmpl w:val="80DAB726"/>
    <w:styleLink w:val="WW8Num3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" w15:restartNumberingAfterBreak="0">
    <w:nsid w:val="542B3F7C"/>
    <w:multiLevelType w:val="multilevel"/>
    <w:tmpl w:val="82B61290"/>
    <w:styleLink w:val="WW8Num2"/>
    <w:lvl w:ilvl="0">
      <w:numFmt w:val="bullet"/>
      <w:lvlText w:val="＊"/>
      <w:lvlJc w:val="left"/>
      <w:pPr>
        <w:ind w:left="360" w:hanging="360"/>
      </w:pPr>
      <w:rPr>
        <w:rFonts w:ascii="Times New Roman" w:eastAsia="標楷體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 w16cid:durableId="668751742">
    <w:abstractNumId w:val="0"/>
  </w:num>
  <w:num w:numId="2" w16cid:durableId="1302661037">
    <w:abstractNumId w:val="2"/>
  </w:num>
  <w:num w:numId="3" w16cid:durableId="1757510590">
    <w:abstractNumId w:val="1"/>
  </w:num>
  <w:num w:numId="4" w16cid:durableId="681316899">
    <w:abstractNumId w:val="0"/>
  </w:num>
  <w:num w:numId="5" w16cid:durableId="16070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EA"/>
    <w:rsid w:val="00182686"/>
    <w:rsid w:val="004D454C"/>
    <w:rsid w:val="005B00EA"/>
    <w:rsid w:val="009751F1"/>
    <w:rsid w:val="009F45FF"/>
    <w:rsid w:val="00C74BE1"/>
    <w:rsid w:val="00F6075A"/>
    <w:rsid w:val="00F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B3B5C"/>
  <w15:docId w15:val="{D17AFC1E-86B5-480D-B803-244C422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標楷體" w:hAnsi="Times New Roman" w:cs="Times New Roman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AR PGothic Medium JP" w:eastAsia="AR PGothic Medium JP" w:hAnsi="AR PGothic Medium JP" w:cs="AncientClock"/>
      <w:color w:val="00000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/>
      <w:color w:val="000000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Times New Roman" w:eastAsia="標楷體" w:hAnsi="Times New Roman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stat.taichung.gov.tw/TCSTAT/Page/kcg01_2.aspx?Mid1=38727010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統計資料背景說明：高雄市勞工團體及會員人數統計</dc:title>
  <dc:creator>user</dc:creator>
  <cp:lastModifiedBy>鄧佑安</cp:lastModifiedBy>
  <cp:revision>6</cp:revision>
  <cp:lastPrinted>2023-12-29T02:57:00Z</cp:lastPrinted>
  <dcterms:created xsi:type="dcterms:W3CDTF">2023-12-25T01:28:00Z</dcterms:created>
  <dcterms:modified xsi:type="dcterms:W3CDTF">2023-12-29T02:59:00Z</dcterms:modified>
</cp:coreProperties>
</file>